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24B04485" w14:textId="77777777" w:rsidR="00620B15" w:rsidRDefault="00620B15">
      <w:pPr>
        <w:rPr>
          <w:b/>
          <w:sz w:val="28"/>
          <w:szCs w:val="28"/>
        </w:rPr>
      </w:pPr>
      <w:r>
        <w:rPr>
          <w:b/>
          <w:sz w:val="28"/>
          <w:szCs w:val="28"/>
        </w:rPr>
        <w:t>Een krachtige levensmiddelenketen</w:t>
      </w:r>
    </w:p>
    <w:p w14:paraId="19416A40" w14:textId="77777777" w:rsidR="00620B15" w:rsidRDefault="00620B15">
      <w:pPr>
        <w:rPr>
          <w:i/>
        </w:rPr>
      </w:pPr>
    </w:p>
    <w:p w14:paraId="7D95DB1C" w14:textId="77777777" w:rsidR="00620B15" w:rsidRPr="00424FB3" w:rsidRDefault="00620B15">
      <w:pPr>
        <w:rPr>
          <w:i/>
        </w:rPr>
      </w:pPr>
      <w:r w:rsidRPr="00424FB3">
        <w:rPr>
          <w:i/>
        </w:rPr>
        <w:t>Deze</w:t>
      </w:r>
      <w:r>
        <w:rPr>
          <w:i/>
        </w:rPr>
        <w:t xml:space="preserve"> casusopdracht gaat over ontwikkelingen in de levensmiddelenketen. In informatiebron 1 vind je enkele uitspraken die iets vertellen over deze ontwikkelingen. Informatiebron 2 geeft met een aantal begrippen uitleg over twee toekomstscenario’s bedacht door de ING. Informatiebron 3 geeft ten slotte aan hoe op dit moment de toegevoegde waarde is verdeeld in de levensmiddelenketen. </w:t>
      </w:r>
    </w:p>
    <w:p w14:paraId="7903B469" w14:textId="77777777" w:rsidR="00620B15" w:rsidRDefault="00620B15">
      <w:pPr>
        <w:rPr>
          <w:b/>
          <w:sz w:val="28"/>
          <w:szCs w:val="28"/>
        </w:rPr>
      </w:pPr>
    </w:p>
    <w:p w14:paraId="1E2D0813" w14:textId="77777777" w:rsidR="00620B15" w:rsidRDefault="00620B15" w:rsidP="00827D1F">
      <w:pPr>
        <w:autoSpaceDE w:val="0"/>
        <w:autoSpaceDN w:val="0"/>
        <w:adjustRightInd w:val="0"/>
      </w:pPr>
      <w:r w:rsidRPr="00827D1F">
        <w:t>Van</w:t>
      </w:r>
      <w:r>
        <w:t xml:space="preserve"> </w:t>
      </w:r>
      <w:r w:rsidRPr="00827D1F">
        <w:t>iedere euro aan voeding besteedt de Nederlandse consument gemiddeld bijna 80 eurocent in de</w:t>
      </w:r>
      <w:r>
        <w:t xml:space="preserve"> </w:t>
      </w:r>
      <w:r w:rsidRPr="00827D1F">
        <w:t>supermarkt.</w:t>
      </w:r>
      <w:r>
        <w:t xml:space="preserve"> Supermarkten zijn dus een belangrijke schakel in de levensmiddelenketen. Toch is dit voor de supermarktenbranche geen reden om achterover te leunen. De bedrijfstak kent een hoge concurrentie, waardoor er een grote druk is om de prijzen, en dus ook de kosten, zo laag mogelijk te houden. Daarnaast spelen er grote vraagstukken op het gebied van milieu, gezondheid en internationalisering. Deze vraagstukken spelen niet alleen voor de supermarkten, maar voor de gehele levensmiddelenketen. Om te bepalen hoe de levensmiddelenketen zich gaat ontwikkelen in de toekomst, heeft de bank ING een aantal scenario’s ontworpen hoe de levensmiddelenketen er uit ziet in het jaar 2030. Voordat ze deze scenario’s konden schetsen, hebben ze eerst de keten in beeld gebracht door middel van een DEPEST-analyse (zie lesbrief Marketing). In informatiebron 1 zie je een aantal uitspraken uit deze analyse.  </w:t>
      </w:r>
    </w:p>
    <w:p w14:paraId="409B71FB" w14:textId="77777777" w:rsidR="00620B15" w:rsidRDefault="00620B15" w:rsidP="00827D1F">
      <w:pPr>
        <w:autoSpaceDE w:val="0"/>
        <w:autoSpaceDN w:val="0"/>
        <w:adjustRightInd w:val="0"/>
      </w:pPr>
    </w:p>
    <w:p w14:paraId="2670830D" w14:textId="77777777" w:rsidR="00620B15" w:rsidRDefault="00620B15" w:rsidP="009F1A1C">
      <w:pPr>
        <w:autoSpaceDE w:val="0"/>
        <w:autoSpaceDN w:val="0"/>
        <w:adjustRightInd w:val="0"/>
      </w:pPr>
      <w:r>
        <w:t>A) Geef van elke uitspraak uit informatiebron 1 aan bij welk onderdeel van de DEPEST-</w:t>
      </w:r>
    </w:p>
    <w:p w14:paraId="45604D88" w14:textId="77777777" w:rsidR="00620B15" w:rsidRDefault="00620B15" w:rsidP="00013CC6">
      <w:pPr>
        <w:autoSpaceDE w:val="0"/>
        <w:autoSpaceDN w:val="0"/>
        <w:adjustRightInd w:val="0"/>
        <w:ind w:firstLine="360"/>
      </w:pPr>
      <w:r>
        <w:t>analyse het hoort (tip: bij iedere letter horen twee uitspraken).</w:t>
      </w:r>
    </w:p>
    <w:p w14:paraId="1A8B4302" w14:textId="77777777" w:rsidR="00620B15" w:rsidRDefault="00620B15" w:rsidP="009F1A1C">
      <w:pPr>
        <w:autoSpaceDE w:val="0"/>
        <w:autoSpaceDN w:val="0"/>
        <w:adjustRightInd w:val="0"/>
      </w:pPr>
      <w:r>
        <w:t xml:space="preserve">B) Uitspraak F wijst op een verandering in de bedrijfskolom (zie lesbrief Distributie). Welk </w:t>
      </w:r>
    </w:p>
    <w:p w14:paraId="6B966D14" w14:textId="77777777" w:rsidR="00620B15" w:rsidRDefault="00620B15" w:rsidP="009F1A1C">
      <w:pPr>
        <w:autoSpaceDE w:val="0"/>
        <w:autoSpaceDN w:val="0"/>
        <w:adjustRightInd w:val="0"/>
        <w:ind w:firstLine="360"/>
      </w:pPr>
      <w:r>
        <w:t>van de volgende begrippen past het best bij deze uitspraak? Kies uit:</w:t>
      </w:r>
    </w:p>
    <w:p w14:paraId="04E391CE" w14:textId="77777777" w:rsidR="00620B15" w:rsidRDefault="00620B15" w:rsidP="009F1A1C">
      <w:pPr>
        <w:autoSpaceDE w:val="0"/>
        <w:autoSpaceDN w:val="0"/>
        <w:adjustRightInd w:val="0"/>
        <w:ind w:firstLine="360"/>
        <w:rPr>
          <w:i/>
        </w:rPr>
      </w:pPr>
      <w:r w:rsidRPr="009F1A1C">
        <w:rPr>
          <w:i/>
        </w:rPr>
        <w:t xml:space="preserve">Integratie/Differentiatie/Parallellisatie/Specialisatie.  </w:t>
      </w:r>
    </w:p>
    <w:p w14:paraId="295D30ED" w14:textId="77777777" w:rsidR="00620B15" w:rsidRDefault="00620B15" w:rsidP="00342720">
      <w:pPr>
        <w:autoSpaceDE w:val="0"/>
        <w:autoSpaceDN w:val="0"/>
        <w:adjustRightInd w:val="0"/>
      </w:pPr>
      <w:r>
        <w:t xml:space="preserve">C) De factoren in de DEPEST-analyse zijn door een onderneming niet beïnvloedbaar. Leg uit </w:t>
      </w:r>
    </w:p>
    <w:p w14:paraId="772ACA90" w14:textId="77777777" w:rsidR="00620B15" w:rsidRPr="00342720" w:rsidRDefault="00620B15" w:rsidP="00007C78">
      <w:pPr>
        <w:autoSpaceDE w:val="0"/>
        <w:autoSpaceDN w:val="0"/>
        <w:adjustRightInd w:val="0"/>
        <w:ind w:firstLine="360"/>
      </w:pPr>
      <w:r>
        <w:t xml:space="preserve">dat dit voor een keten niet altijd hoeft te gelden.  </w:t>
      </w:r>
    </w:p>
    <w:p w14:paraId="3FA9E7AE" w14:textId="77777777" w:rsidR="00620B15" w:rsidRDefault="00620B15" w:rsidP="005C05F0">
      <w:pPr>
        <w:autoSpaceDE w:val="0"/>
        <w:autoSpaceDN w:val="0"/>
        <w:adjustRightInd w:val="0"/>
        <w:rPr>
          <w:i/>
        </w:rPr>
      </w:pPr>
    </w:p>
    <w:p w14:paraId="7429D14E" w14:textId="77777777" w:rsidR="00620B15" w:rsidRPr="000A5642" w:rsidRDefault="00620B15" w:rsidP="005C05F0">
      <w:pPr>
        <w:autoSpaceDE w:val="0"/>
        <w:autoSpaceDN w:val="0"/>
        <w:adjustRightInd w:val="0"/>
      </w:pPr>
      <w:r>
        <w:t xml:space="preserve">De ING heeft uiteindelijk twee scenario’s ontwikkeld voor hoe de levensmiddelketen zich kan ontwikkelen. Het ene scenario heet de 4P’s (Power, Price, Product en Profit). Dit scenario gaat ervan uit dat de levensmiddelketen zijn marketinginstrumenten vooral inzetten op basis van winstgevendheid, kostenreductie en concurrentieoverwegingen. </w:t>
      </w:r>
      <w:r w:rsidRPr="00195258">
        <w:rPr>
          <w:lang w:val="en-GB"/>
        </w:rPr>
        <w:t>Het andere scenario heet de 4C’s (Cooperation, Community, Consumer, Continuity).</w:t>
      </w:r>
      <w:r>
        <w:rPr>
          <w:lang w:val="en-GB"/>
        </w:rPr>
        <w:t xml:space="preserve"> </w:t>
      </w:r>
      <w:r w:rsidRPr="000A5642">
        <w:t xml:space="preserve">Het gaat er in dit scenario om dat de levensmiddelenketen vooral kiest </w:t>
      </w:r>
      <w:r>
        <w:t xml:space="preserve">voor </w:t>
      </w:r>
      <w:r w:rsidRPr="000A5642">
        <w:t xml:space="preserve">samenwerking, </w:t>
      </w:r>
      <w:r>
        <w:t xml:space="preserve">en gericht op </w:t>
      </w:r>
      <w:r w:rsidRPr="000A5642">
        <w:t>de wens van</w:t>
      </w:r>
      <w:r>
        <w:t xml:space="preserve"> </w:t>
      </w:r>
      <w:r w:rsidRPr="000A5642">
        <w:t>de klant</w:t>
      </w:r>
      <w:r>
        <w:t xml:space="preserve"> en op</w:t>
      </w:r>
      <w:r w:rsidRPr="000A5642">
        <w:t xml:space="preserve"> duurzaamheid</w:t>
      </w:r>
      <w:r>
        <w:t xml:space="preserve">. In informatiebron 2 zie je een overzicht van enkele begrippen per scenario. </w:t>
      </w:r>
      <w:r w:rsidRPr="000A5642">
        <w:t xml:space="preserve">  </w:t>
      </w:r>
    </w:p>
    <w:p w14:paraId="034F880A" w14:textId="77777777" w:rsidR="00620B15" w:rsidRPr="000A5642" w:rsidRDefault="00620B15" w:rsidP="009F1A1C">
      <w:pPr>
        <w:autoSpaceDE w:val="0"/>
        <w:autoSpaceDN w:val="0"/>
        <w:adjustRightInd w:val="0"/>
        <w:rPr>
          <w:i/>
        </w:rPr>
      </w:pPr>
    </w:p>
    <w:p w14:paraId="1D228DEC" w14:textId="77777777" w:rsidR="00620B15" w:rsidRDefault="00620B15" w:rsidP="009F1A1C">
      <w:pPr>
        <w:autoSpaceDE w:val="0"/>
        <w:autoSpaceDN w:val="0"/>
        <w:adjustRightInd w:val="0"/>
      </w:pPr>
      <w:r>
        <w:t xml:space="preserve">D) Leg uit dat Pull-strategie hoort bij meer aandacht voor de C van Consumer (zie lesbrief </w:t>
      </w:r>
    </w:p>
    <w:p w14:paraId="51AB699B" w14:textId="77777777" w:rsidR="00620B15" w:rsidRDefault="00620B15" w:rsidP="00E114F7">
      <w:pPr>
        <w:autoSpaceDE w:val="0"/>
        <w:autoSpaceDN w:val="0"/>
        <w:adjustRightInd w:val="0"/>
        <w:ind w:firstLine="360"/>
      </w:pPr>
      <w:r>
        <w:t>Plaats &amp; Promotie).</w:t>
      </w:r>
    </w:p>
    <w:p w14:paraId="37FF4C1B" w14:textId="77777777" w:rsidR="00620B15" w:rsidRDefault="00620B15" w:rsidP="00E114F7">
      <w:pPr>
        <w:autoSpaceDE w:val="0"/>
        <w:autoSpaceDN w:val="0"/>
        <w:adjustRightInd w:val="0"/>
      </w:pPr>
      <w:r>
        <w:t xml:space="preserve">E) Leg uit dat samenwerking belangrijk is bij een strategie van differentiatie binnen de 4C’s </w:t>
      </w:r>
    </w:p>
    <w:p w14:paraId="581777C2" w14:textId="77777777" w:rsidR="00620B15" w:rsidRDefault="00620B15" w:rsidP="002533A9">
      <w:pPr>
        <w:autoSpaceDE w:val="0"/>
        <w:autoSpaceDN w:val="0"/>
        <w:adjustRightInd w:val="0"/>
        <w:ind w:firstLine="360"/>
      </w:pPr>
      <w:r>
        <w:t xml:space="preserve">(zie lesbrief Distributie) . </w:t>
      </w:r>
    </w:p>
    <w:p w14:paraId="175A200D" w14:textId="77777777" w:rsidR="00620B15" w:rsidRDefault="00620B15" w:rsidP="00E174B1">
      <w:pPr>
        <w:autoSpaceDE w:val="0"/>
        <w:autoSpaceDN w:val="0"/>
        <w:adjustRightInd w:val="0"/>
      </w:pPr>
      <w:r>
        <w:t xml:space="preserve">F) Hieronder zie je een aantal voor en nadelen staan. Kruis aan bij welk scenario deze voor- </w:t>
      </w:r>
    </w:p>
    <w:p w14:paraId="778C4CA4" w14:textId="77777777" w:rsidR="00620B15" w:rsidRPr="000A5642" w:rsidRDefault="00620B15" w:rsidP="00E114F7">
      <w:pPr>
        <w:autoSpaceDE w:val="0"/>
        <w:autoSpaceDN w:val="0"/>
        <w:adjustRightInd w:val="0"/>
        <w:ind w:firstLine="360"/>
      </w:pPr>
      <w:r>
        <w:t xml:space="preserve">en nadelen horen. </w:t>
      </w:r>
    </w:p>
    <w:p w14:paraId="5C651913" w14:textId="77777777" w:rsidR="00620B15" w:rsidRPr="000A5642" w:rsidRDefault="00620B15" w:rsidP="009F1A1C">
      <w:pPr>
        <w:autoSpaceDE w:val="0"/>
        <w:autoSpaceDN w:val="0"/>
        <w:adjustRightInd w:val="0"/>
      </w:pPr>
    </w:p>
    <w:p w14:paraId="2D7FE484" w14:textId="77777777" w:rsidR="00620B15" w:rsidRPr="000A5642" w:rsidRDefault="00620B15">
      <w:pPr>
        <w:rPr>
          <w:b/>
          <w:sz w:val="28"/>
          <w:szCs w:val="28"/>
        </w:rPr>
      </w:pPr>
    </w:p>
    <w:p w14:paraId="1E6E6409" w14:textId="77777777" w:rsidR="00620B15" w:rsidRPr="00F158A1" w:rsidRDefault="00620B15">
      <w:pPr>
        <w:rPr>
          <w:b/>
        </w:rPr>
      </w:pPr>
    </w:p>
    <w:p w14:paraId="0C007D12" w14:textId="77777777" w:rsidR="00620B15" w:rsidRDefault="00620B15">
      <w:pPr>
        <w:rPr>
          <w:b/>
          <w:sz w:val="28"/>
          <w:szCs w:val="28"/>
        </w:rPr>
      </w:pPr>
    </w:p>
    <w:p w14:paraId="09CAE02D" w14:textId="77777777" w:rsidR="00620B15" w:rsidRDefault="00620B15">
      <w:pPr>
        <w:rPr>
          <w:b/>
          <w:sz w:val="28"/>
          <w:szCs w:val="28"/>
        </w:rPr>
      </w:pPr>
    </w:p>
    <w:tbl>
      <w:tblPr>
        <w:tblpPr w:leftFromText="141" w:rightFromText="141" w:vertAnchor="page" w:horzAnchor="margin" w:tblpXSpec="center" w:tblpY="1418"/>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3817"/>
        <w:gridCol w:w="509"/>
        <w:gridCol w:w="596"/>
      </w:tblGrid>
      <w:tr w:rsidR="00620B15" w14:paraId="68929489" w14:textId="77777777" w:rsidTr="00FC594F">
        <w:trPr>
          <w:tblCellSpacing w:w="20" w:type="dxa"/>
        </w:trPr>
        <w:tc>
          <w:tcPr>
            <w:tcW w:w="0" w:type="auto"/>
            <w:tcBorders>
              <w:top w:val="outset" w:sz="24" w:space="0" w:color="auto"/>
            </w:tcBorders>
          </w:tcPr>
          <w:p w14:paraId="4706E082" w14:textId="77777777" w:rsidR="00620B15" w:rsidRPr="00833ECE" w:rsidRDefault="00620B15" w:rsidP="00FC594F">
            <w:pPr>
              <w:rPr>
                <w:b/>
                <w:sz w:val="20"/>
                <w:szCs w:val="20"/>
              </w:rPr>
            </w:pPr>
            <w:r w:rsidRPr="00833ECE">
              <w:rPr>
                <w:b/>
                <w:sz w:val="20"/>
                <w:szCs w:val="20"/>
              </w:rPr>
              <w:lastRenderedPageBreak/>
              <w:t>Voordelen:</w:t>
            </w:r>
          </w:p>
        </w:tc>
        <w:tc>
          <w:tcPr>
            <w:tcW w:w="0" w:type="auto"/>
            <w:tcBorders>
              <w:top w:val="outset" w:sz="24" w:space="0" w:color="auto"/>
            </w:tcBorders>
          </w:tcPr>
          <w:p w14:paraId="6DDFC3F9" w14:textId="77777777" w:rsidR="00620B15" w:rsidRPr="00833ECE" w:rsidRDefault="00620B15" w:rsidP="00FC594F">
            <w:pPr>
              <w:rPr>
                <w:b/>
                <w:sz w:val="20"/>
                <w:szCs w:val="20"/>
              </w:rPr>
            </w:pPr>
            <w:r w:rsidRPr="00833ECE">
              <w:rPr>
                <w:b/>
                <w:sz w:val="20"/>
                <w:szCs w:val="20"/>
              </w:rPr>
              <w:t>4P</w:t>
            </w:r>
          </w:p>
        </w:tc>
        <w:tc>
          <w:tcPr>
            <w:tcW w:w="0" w:type="auto"/>
            <w:tcBorders>
              <w:top w:val="outset" w:sz="24" w:space="0" w:color="auto"/>
            </w:tcBorders>
          </w:tcPr>
          <w:p w14:paraId="3C6E251D" w14:textId="77777777" w:rsidR="00620B15" w:rsidRPr="00833ECE" w:rsidRDefault="00620B15" w:rsidP="00FC594F">
            <w:pPr>
              <w:rPr>
                <w:b/>
                <w:sz w:val="20"/>
                <w:szCs w:val="20"/>
              </w:rPr>
            </w:pPr>
            <w:r w:rsidRPr="00833ECE">
              <w:rPr>
                <w:b/>
                <w:sz w:val="20"/>
                <w:szCs w:val="20"/>
              </w:rPr>
              <w:t>4C</w:t>
            </w:r>
          </w:p>
        </w:tc>
      </w:tr>
      <w:tr w:rsidR="00620B15" w14:paraId="7B60BD02" w14:textId="77777777" w:rsidTr="00FC594F">
        <w:trPr>
          <w:tblCellSpacing w:w="20" w:type="dxa"/>
        </w:trPr>
        <w:tc>
          <w:tcPr>
            <w:tcW w:w="0" w:type="auto"/>
          </w:tcPr>
          <w:p w14:paraId="5A594527" w14:textId="77777777" w:rsidR="00620B15" w:rsidRPr="00833ECE" w:rsidRDefault="00620B15" w:rsidP="00FC594F">
            <w:pPr>
              <w:rPr>
                <w:sz w:val="20"/>
                <w:szCs w:val="20"/>
              </w:rPr>
            </w:pPr>
            <w:r w:rsidRPr="00833ECE">
              <w:rPr>
                <w:sz w:val="20"/>
                <w:szCs w:val="20"/>
              </w:rPr>
              <w:t>Meer aanbod van goedkoop voedsel</w:t>
            </w:r>
          </w:p>
        </w:tc>
        <w:tc>
          <w:tcPr>
            <w:tcW w:w="0" w:type="auto"/>
          </w:tcPr>
          <w:p w14:paraId="2DBECCE6" w14:textId="77777777" w:rsidR="00620B15" w:rsidRPr="00833ECE" w:rsidRDefault="00620B15" w:rsidP="00FC594F">
            <w:pPr>
              <w:rPr>
                <w:b/>
                <w:sz w:val="20"/>
                <w:szCs w:val="20"/>
              </w:rPr>
            </w:pPr>
          </w:p>
        </w:tc>
        <w:tc>
          <w:tcPr>
            <w:tcW w:w="0" w:type="auto"/>
          </w:tcPr>
          <w:p w14:paraId="0BC76455" w14:textId="77777777" w:rsidR="00620B15" w:rsidRPr="00833ECE" w:rsidRDefault="00620B15" w:rsidP="00FC594F">
            <w:pPr>
              <w:rPr>
                <w:b/>
                <w:sz w:val="20"/>
                <w:szCs w:val="20"/>
              </w:rPr>
            </w:pPr>
          </w:p>
        </w:tc>
      </w:tr>
      <w:tr w:rsidR="00620B15" w14:paraId="00A2C7D5" w14:textId="77777777" w:rsidTr="00FC594F">
        <w:trPr>
          <w:tblCellSpacing w:w="20" w:type="dxa"/>
        </w:trPr>
        <w:tc>
          <w:tcPr>
            <w:tcW w:w="0" w:type="auto"/>
          </w:tcPr>
          <w:p w14:paraId="493FF567" w14:textId="77777777" w:rsidR="00620B15" w:rsidRPr="00833ECE" w:rsidRDefault="00620B15" w:rsidP="00FC594F">
            <w:pPr>
              <w:rPr>
                <w:sz w:val="20"/>
                <w:szCs w:val="20"/>
              </w:rPr>
            </w:pPr>
            <w:r w:rsidRPr="00833ECE">
              <w:rPr>
                <w:sz w:val="20"/>
                <w:szCs w:val="20"/>
              </w:rPr>
              <w:t>Minder verspilling van voedsel</w:t>
            </w:r>
          </w:p>
        </w:tc>
        <w:tc>
          <w:tcPr>
            <w:tcW w:w="0" w:type="auto"/>
          </w:tcPr>
          <w:p w14:paraId="35B65E0A" w14:textId="77777777" w:rsidR="00620B15" w:rsidRPr="00833ECE" w:rsidRDefault="00620B15" w:rsidP="00FC594F">
            <w:pPr>
              <w:rPr>
                <w:b/>
                <w:sz w:val="20"/>
                <w:szCs w:val="20"/>
              </w:rPr>
            </w:pPr>
          </w:p>
        </w:tc>
        <w:tc>
          <w:tcPr>
            <w:tcW w:w="0" w:type="auto"/>
          </w:tcPr>
          <w:p w14:paraId="30427582" w14:textId="77777777" w:rsidR="00620B15" w:rsidRPr="00833ECE" w:rsidRDefault="00620B15" w:rsidP="00FC594F">
            <w:pPr>
              <w:rPr>
                <w:b/>
                <w:sz w:val="20"/>
                <w:szCs w:val="20"/>
              </w:rPr>
            </w:pPr>
          </w:p>
        </w:tc>
      </w:tr>
      <w:tr w:rsidR="00620B15" w14:paraId="22639D6D" w14:textId="77777777" w:rsidTr="00FC594F">
        <w:trPr>
          <w:tblCellSpacing w:w="20" w:type="dxa"/>
        </w:trPr>
        <w:tc>
          <w:tcPr>
            <w:tcW w:w="0" w:type="auto"/>
          </w:tcPr>
          <w:p w14:paraId="7FD8F46A" w14:textId="77777777" w:rsidR="00620B15" w:rsidRPr="00833ECE" w:rsidRDefault="00620B15" w:rsidP="00FC594F">
            <w:pPr>
              <w:rPr>
                <w:sz w:val="20"/>
                <w:szCs w:val="20"/>
              </w:rPr>
            </w:pPr>
            <w:r w:rsidRPr="00833ECE">
              <w:rPr>
                <w:sz w:val="20"/>
                <w:szCs w:val="20"/>
              </w:rPr>
              <w:t>Efficiënt gebruik van grondstoffen</w:t>
            </w:r>
          </w:p>
        </w:tc>
        <w:tc>
          <w:tcPr>
            <w:tcW w:w="0" w:type="auto"/>
          </w:tcPr>
          <w:p w14:paraId="412595FF" w14:textId="77777777" w:rsidR="00620B15" w:rsidRPr="00833ECE" w:rsidRDefault="00620B15" w:rsidP="00FC594F">
            <w:pPr>
              <w:rPr>
                <w:b/>
                <w:sz w:val="20"/>
                <w:szCs w:val="20"/>
              </w:rPr>
            </w:pPr>
          </w:p>
        </w:tc>
        <w:tc>
          <w:tcPr>
            <w:tcW w:w="0" w:type="auto"/>
          </w:tcPr>
          <w:p w14:paraId="59F83705" w14:textId="77777777" w:rsidR="00620B15" w:rsidRPr="00833ECE" w:rsidRDefault="00620B15" w:rsidP="00FC594F">
            <w:pPr>
              <w:rPr>
                <w:b/>
                <w:sz w:val="20"/>
                <w:szCs w:val="20"/>
              </w:rPr>
            </w:pPr>
          </w:p>
        </w:tc>
      </w:tr>
      <w:tr w:rsidR="00620B15" w14:paraId="74F2B219" w14:textId="77777777" w:rsidTr="00FC594F">
        <w:trPr>
          <w:tblCellSpacing w:w="20" w:type="dxa"/>
        </w:trPr>
        <w:tc>
          <w:tcPr>
            <w:tcW w:w="0" w:type="auto"/>
          </w:tcPr>
          <w:p w14:paraId="629B1392" w14:textId="77777777" w:rsidR="00620B15" w:rsidRPr="00833ECE" w:rsidRDefault="00620B15" w:rsidP="00FC594F">
            <w:pPr>
              <w:rPr>
                <w:sz w:val="20"/>
                <w:szCs w:val="20"/>
              </w:rPr>
            </w:pPr>
            <w:r w:rsidRPr="00833ECE">
              <w:rPr>
                <w:sz w:val="20"/>
                <w:szCs w:val="20"/>
              </w:rPr>
              <w:t>Meer aanbod van  internationaal voedsel</w:t>
            </w:r>
          </w:p>
        </w:tc>
        <w:tc>
          <w:tcPr>
            <w:tcW w:w="0" w:type="auto"/>
          </w:tcPr>
          <w:p w14:paraId="724AB1FC" w14:textId="77777777" w:rsidR="00620B15" w:rsidRPr="00833ECE" w:rsidRDefault="00620B15" w:rsidP="00FC594F">
            <w:pPr>
              <w:rPr>
                <w:b/>
                <w:sz w:val="20"/>
                <w:szCs w:val="20"/>
              </w:rPr>
            </w:pPr>
          </w:p>
        </w:tc>
        <w:tc>
          <w:tcPr>
            <w:tcW w:w="0" w:type="auto"/>
          </w:tcPr>
          <w:p w14:paraId="369B0A9B" w14:textId="77777777" w:rsidR="00620B15" w:rsidRPr="00833ECE" w:rsidRDefault="00620B15" w:rsidP="00FC594F">
            <w:pPr>
              <w:rPr>
                <w:b/>
                <w:sz w:val="20"/>
                <w:szCs w:val="20"/>
              </w:rPr>
            </w:pPr>
          </w:p>
        </w:tc>
      </w:tr>
      <w:tr w:rsidR="00620B15" w14:paraId="4396DFCC" w14:textId="77777777" w:rsidTr="00FC594F">
        <w:trPr>
          <w:tblCellSpacing w:w="20" w:type="dxa"/>
        </w:trPr>
        <w:tc>
          <w:tcPr>
            <w:tcW w:w="0" w:type="auto"/>
          </w:tcPr>
          <w:p w14:paraId="1DA76876" w14:textId="77777777" w:rsidR="00620B15" w:rsidRPr="00833ECE" w:rsidRDefault="00620B15" w:rsidP="00FC594F">
            <w:pPr>
              <w:rPr>
                <w:b/>
                <w:sz w:val="20"/>
                <w:szCs w:val="20"/>
              </w:rPr>
            </w:pPr>
            <w:r w:rsidRPr="00833ECE">
              <w:rPr>
                <w:b/>
                <w:sz w:val="20"/>
                <w:szCs w:val="20"/>
              </w:rPr>
              <w:t>Nadelen:</w:t>
            </w:r>
          </w:p>
        </w:tc>
        <w:tc>
          <w:tcPr>
            <w:tcW w:w="0" w:type="auto"/>
          </w:tcPr>
          <w:p w14:paraId="3A5F489D" w14:textId="77777777" w:rsidR="00620B15" w:rsidRPr="00833ECE" w:rsidRDefault="00620B15" w:rsidP="00FC594F">
            <w:pPr>
              <w:rPr>
                <w:b/>
                <w:sz w:val="20"/>
                <w:szCs w:val="20"/>
              </w:rPr>
            </w:pPr>
          </w:p>
        </w:tc>
        <w:tc>
          <w:tcPr>
            <w:tcW w:w="0" w:type="auto"/>
          </w:tcPr>
          <w:p w14:paraId="74718F64" w14:textId="77777777" w:rsidR="00620B15" w:rsidRPr="00833ECE" w:rsidRDefault="00620B15" w:rsidP="00FC594F">
            <w:pPr>
              <w:rPr>
                <w:b/>
                <w:sz w:val="20"/>
                <w:szCs w:val="20"/>
              </w:rPr>
            </w:pPr>
          </w:p>
        </w:tc>
      </w:tr>
      <w:tr w:rsidR="00620B15" w14:paraId="11493972" w14:textId="77777777" w:rsidTr="00FC594F">
        <w:trPr>
          <w:tblCellSpacing w:w="20" w:type="dxa"/>
        </w:trPr>
        <w:tc>
          <w:tcPr>
            <w:tcW w:w="0" w:type="auto"/>
          </w:tcPr>
          <w:p w14:paraId="0E146151" w14:textId="77777777" w:rsidR="00620B15" w:rsidRPr="00833ECE" w:rsidRDefault="00620B15" w:rsidP="00FC594F">
            <w:pPr>
              <w:rPr>
                <w:sz w:val="20"/>
                <w:szCs w:val="20"/>
              </w:rPr>
            </w:pPr>
            <w:r w:rsidRPr="00833ECE">
              <w:rPr>
                <w:sz w:val="20"/>
                <w:szCs w:val="20"/>
              </w:rPr>
              <w:t>Verslechtering imago levensmiddelenketen</w:t>
            </w:r>
          </w:p>
        </w:tc>
        <w:tc>
          <w:tcPr>
            <w:tcW w:w="0" w:type="auto"/>
          </w:tcPr>
          <w:p w14:paraId="3EE6097D" w14:textId="77777777" w:rsidR="00620B15" w:rsidRPr="00833ECE" w:rsidRDefault="00620B15" w:rsidP="00FC594F">
            <w:pPr>
              <w:rPr>
                <w:b/>
                <w:sz w:val="20"/>
                <w:szCs w:val="20"/>
              </w:rPr>
            </w:pPr>
          </w:p>
        </w:tc>
        <w:tc>
          <w:tcPr>
            <w:tcW w:w="0" w:type="auto"/>
          </w:tcPr>
          <w:p w14:paraId="1A06C892" w14:textId="77777777" w:rsidR="00620B15" w:rsidRPr="00833ECE" w:rsidRDefault="00620B15" w:rsidP="00FC594F">
            <w:pPr>
              <w:rPr>
                <w:b/>
                <w:sz w:val="20"/>
                <w:szCs w:val="20"/>
              </w:rPr>
            </w:pPr>
          </w:p>
        </w:tc>
      </w:tr>
      <w:tr w:rsidR="00620B15" w14:paraId="57355455" w14:textId="77777777" w:rsidTr="00FC594F">
        <w:trPr>
          <w:tblCellSpacing w:w="20" w:type="dxa"/>
        </w:trPr>
        <w:tc>
          <w:tcPr>
            <w:tcW w:w="0" w:type="auto"/>
          </w:tcPr>
          <w:p w14:paraId="412D8AED" w14:textId="77777777" w:rsidR="00620B15" w:rsidRPr="00833ECE" w:rsidRDefault="00620B15" w:rsidP="00FC594F">
            <w:pPr>
              <w:rPr>
                <w:sz w:val="20"/>
                <w:szCs w:val="20"/>
              </w:rPr>
            </w:pPr>
            <w:r w:rsidRPr="00833ECE">
              <w:rPr>
                <w:sz w:val="20"/>
                <w:szCs w:val="20"/>
              </w:rPr>
              <w:t>Hogere prijzen voor voedsel</w:t>
            </w:r>
          </w:p>
        </w:tc>
        <w:tc>
          <w:tcPr>
            <w:tcW w:w="0" w:type="auto"/>
          </w:tcPr>
          <w:p w14:paraId="0B378F00" w14:textId="77777777" w:rsidR="00620B15" w:rsidRPr="00833ECE" w:rsidRDefault="00620B15" w:rsidP="00FC594F">
            <w:pPr>
              <w:rPr>
                <w:b/>
                <w:sz w:val="20"/>
                <w:szCs w:val="20"/>
              </w:rPr>
            </w:pPr>
          </w:p>
        </w:tc>
        <w:tc>
          <w:tcPr>
            <w:tcW w:w="0" w:type="auto"/>
          </w:tcPr>
          <w:p w14:paraId="6D75B1DD" w14:textId="77777777" w:rsidR="00620B15" w:rsidRPr="00833ECE" w:rsidRDefault="00620B15" w:rsidP="00FC594F">
            <w:pPr>
              <w:rPr>
                <w:b/>
                <w:sz w:val="20"/>
                <w:szCs w:val="20"/>
              </w:rPr>
            </w:pPr>
          </w:p>
        </w:tc>
      </w:tr>
      <w:tr w:rsidR="00620B15" w14:paraId="3DC50623" w14:textId="77777777" w:rsidTr="00FC594F">
        <w:trPr>
          <w:tblCellSpacing w:w="20" w:type="dxa"/>
        </w:trPr>
        <w:tc>
          <w:tcPr>
            <w:tcW w:w="0" w:type="auto"/>
          </w:tcPr>
          <w:p w14:paraId="33F13432" w14:textId="77777777" w:rsidR="00620B15" w:rsidRPr="00833ECE" w:rsidRDefault="00620B15" w:rsidP="00FC594F">
            <w:pPr>
              <w:rPr>
                <w:sz w:val="20"/>
                <w:szCs w:val="20"/>
              </w:rPr>
            </w:pPr>
            <w:r w:rsidRPr="00833ECE">
              <w:rPr>
                <w:sz w:val="20"/>
                <w:szCs w:val="20"/>
              </w:rPr>
              <w:t>Hogere aanbodoverschotten van voedsel</w:t>
            </w:r>
          </w:p>
        </w:tc>
        <w:tc>
          <w:tcPr>
            <w:tcW w:w="0" w:type="auto"/>
          </w:tcPr>
          <w:p w14:paraId="476C2A8B" w14:textId="77777777" w:rsidR="00620B15" w:rsidRPr="00833ECE" w:rsidRDefault="00620B15" w:rsidP="00FC594F">
            <w:pPr>
              <w:rPr>
                <w:b/>
                <w:sz w:val="20"/>
                <w:szCs w:val="20"/>
              </w:rPr>
            </w:pPr>
          </w:p>
        </w:tc>
        <w:tc>
          <w:tcPr>
            <w:tcW w:w="0" w:type="auto"/>
          </w:tcPr>
          <w:p w14:paraId="1BA9022C" w14:textId="77777777" w:rsidR="00620B15" w:rsidRPr="00833ECE" w:rsidRDefault="00620B15" w:rsidP="00FC594F">
            <w:pPr>
              <w:rPr>
                <w:b/>
                <w:sz w:val="20"/>
                <w:szCs w:val="20"/>
              </w:rPr>
            </w:pPr>
          </w:p>
        </w:tc>
      </w:tr>
      <w:tr w:rsidR="00620B15" w14:paraId="08C7D05C" w14:textId="77777777" w:rsidTr="00FC594F">
        <w:trPr>
          <w:tblCellSpacing w:w="20" w:type="dxa"/>
        </w:trPr>
        <w:tc>
          <w:tcPr>
            <w:tcW w:w="0" w:type="auto"/>
            <w:tcBorders>
              <w:bottom w:val="outset" w:sz="24" w:space="0" w:color="auto"/>
            </w:tcBorders>
          </w:tcPr>
          <w:p w14:paraId="4A893060" w14:textId="77777777" w:rsidR="00620B15" w:rsidRPr="00833ECE" w:rsidRDefault="00620B15" w:rsidP="00FC594F">
            <w:pPr>
              <w:rPr>
                <w:sz w:val="20"/>
                <w:szCs w:val="20"/>
              </w:rPr>
            </w:pPr>
            <w:r w:rsidRPr="00833ECE">
              <w:rPr>
                <w:sz w:val="20"/>
                <w:szCs w:val="20"/>
              </w:rPr>
              <w:t>Minder aandacht voor dierenwelzijn</w:t>
            </w:r>
          </w:p>
        </w:tc>
        <w:tc>
          <w:tcPr>
            <w:tcW w:w="0" w:type="auto"/>
            <w:tcBorders>
              <w:bottom w:val="outset" w:sz="24" w:space="0" w:color="auto"/>
            </w:tcBorders>
          </w:tcPr>
          <w:p w14:paraId="0C11AD8B" w14:textId="77777777" w:rsidR="00620B15" w:rsidRPr="00833ECE" w:rsidRDefault="00620B15" w:rsidP="00FC594F">
            <w:pPr>
              <w:rPr>
                <w:b/>
                <w:sz w:val="20"/>
                <w:szCs w:val="20"/>
              </w:rPr>
            </w:pPr>
          </w:p>
        </w:tc>
        <w:tc>
          <w:tcPr>
            <w:tcW w:w="0" w:type="auto"/>
            <w:tcBorders>
              <w:bottom w:val="outset" w:sz="24" w:space="0" w:color="auto"/>
            </w:tcBorders>
          </w:tcPr>
          <w:p w14:paraId="1D3B58BB" w14:textId="77777777" w:rsidR="00620B15" w:rsidRPr="00833ECE" w:rsidRDefault="00620B15" w:rsidP="00FC594F">
            <w:pPr>
              <w:rPr>
                <w:b/>
                <w:sz w:val="20"/>
                <w:szCs w:val="20"/>
              </w:rPr>
            </w:pPr>
          </w:p>
        </w:tc>
      </w:tr>
    </w:tbl>
    <w:p w14:paraId="74910567" w14:textId="77777777" w:rsidR="00620B15" w:rsidRDefault="00620B15">
      <w:pPr>
        <w:rPr>
          <w:b/>
          <w:sz w:val="28"/>
          <w:szCs w:val="28"/>
        </w:rPr>
      </w:pPr>
    </w:p>
    <w:p w14:paraId="7A893228" w14:textId="77777777" w:rsidR="00620B15" w:rsidRDefault="00620B15">
      <w:pPr>
        <w:rPr>
          <w:b/>
          <w:sz w:val="28"/>
          <w:szCs w:val="28"/>
        </w:rPr>
      </w:pPr>
    </w:p>
    <w:p w14:paraId="7C561E8A" w14:textId="77777777" w:rsidR="00620B15" w:rsidRPr="00F158A1" w:rsidRDefault="00620B15">
      <w:pPr>
        <w:rPr>
          <w:b/>
        </w:rPr>
      </w:pPr>
    </w:p>
    <w:p w14:paraId="0EDE97A3" w14:textId="77777777" w:rsidR="00620B15" w:rsidRDefault="00620B15">
      <w:pPr>
        <w:rPr>
          <w:b/>
          <w:sz w:val="28"/>
          <w:szCs w:val="28"/>
        </w:rPr>
      </w:pPr>
    </w:p>
    <w:p w14:paraId="0C6BF34D" w14:textId="77777777" w:rsidR="00620B15" w:rsidRDefault="00620B15">
      <w:pPr>
        <w:rPr>
          <w:b/>
          <w:sz w:val="28"/>
          <w:szCs w:val="28"/>
        </w:rPr>
      </w:pPr>
    </w:p>
    <w:p w14:paraId="24619576" w14:textId="77777777" w:rsidR="00620B15" w:rsidRDefault="00620B15">
      <w:pPr>
        <w:rPr>
          <w:b/>
          <w:sz w:val="28"/>
          <w:szCs w:val="28"/>
        </w:rPr>
      </w:pPr>
    </w:p>
    <w:p w14:paraId="4EAF8417" w14:textId="77777777" w:rsidR="00620B15" w:rsidRPr="000A5642" w:rsidRDefault="00620B15">
      <w:pPr>
        <w:rPr>
          <w:b/>
          <w:sz w:val="28"/>
          <w:szCs w:val="28"/>
        </w:rPr>
      </w:pPr>
    </w:p>
    <w:p w14:paraId="3E6B5759" w14:textId="77777777" w:rsidR="00620B15" w:rsidRPr="000A5642" w:rsidRDefault="00620B15">
      <w:pPr>
        <w:rPr>
          <w:b/>
          <w:sz w:val="28"/>
          <w:szCs w:val="28"/>
        </w:rPr>
      </w:pPr>
    </w:p>
    <w:p w14:paraId="3702C7E0" w14:textId="77777777" w:rsidR="00620B15" w:rsidRPr="000A5642" w:rsidRDefault="00620B15">
      <w:pPr>
        <w:rPr>
          <w:b/>
          <w:sz w:val="28"/>
          <w:szCs w:val="28"/>
        </w:rPr>
      </w:pPr>
    </w:p>
    <w:p w14:paraId="00BAAE5A" w14:textId="77777777" w:rsidR="00620B15" w:rsidRPr="000A5642" w:rsidRDefault="00620B15">
      <w:pPr>
        <w:rPr>
          <w:b/>
          <w:sz w:val="28"/>
          <w:szCs w:val="28"/>
        </w:rPr>
      </w:pPr>
    </w:p>
    <w:p w14:paraId="14BF5B3C" w14:textId="77777777" w:rsidR="00620B15" w:rsidRPr="000A5642" w:rsidRDefault="00620B15">
      <w:pPr>
        <w:rPr>
          <w:b/>
          <w:sz w:val="28"/>
          <w:szCs w:val="28"/>
        </w:rPr>
      </w:pPr>
    </w:p>
    <w:p w14:paraId="0C1BCA8B" w14:textId="77777777" w:rsidR="00620B15" w:rsidRDefault="00620B15" w:rsidP="00896EB6">
      <w:pPr>
        <w:tabs>
          <w:tab w:val="left" w:pos="0"/>
          <w:tab w:val="left" w:pos="360"/>
        </w:tabs>
        <w:rPr>
          <w:kern w:val="36"/>
        </w:rPr>
      </w:pPr>
      <w:r>
        <w:rPr>
          <w:kern w:val="36"/>
        </w:rPr>
        <w:t xml:space="preserve">Mocht de levensmiddelenketen ervoor kiezen om met de 4C’s te gaan werken, dan heeft dit een grote invloed op de toegevoegde waarde binnen de bedrijfskolom. Doordat de taken kleinschaliger worden uitgevoerd en meer verdeeld zullen gaan worden, zal iedere bedrijfstak meer waarde toevoegen. In informatiebron 3 is te zien hoe de toegevoegde waarde op dit moment verdeeld is binnen de levensmiddelenketen. </w:t>
      </w:r>
    </w:p>
    <w:p w14:paraId="2135E8E3" w14:textId="77777777" w:rsidR="00620B15" w:rsidRDefault="00620B15" w:rsidP="00896EB6">
      <w:pPr>
        <w:tabs>
          <w:tab w:val="left" w:pos="0"/>
          <w:tab w:val="left" w:pos="360"/>
        </w:tabs>
        <w:rPr>
          <w:kern w:val="36"/>
        </w:rPr>
      </w:pPr>
    </w:p>
    <w:p w14:paraId="2C341901" w14:textId="77777777" w:rsidR="00620B15" w:rsidRDefault="00620B15" w:rsidP="00896EB6">
      <w:pPr>
        <w:tabs>
          <w:tab w:val="left" w:pos="0"/>
          <w:tab w:val="left" w:pos="360"/>
        </w:tabs>
        <w:rPr>
          <w:kern w:val="36"/>
        </w:rPr>
      </w:pPr>
      <w:r>
        <w:rPr>
          <w:kern w:val="36"/>
        </w:rPr>
        <w:t xml:space="preserve">G) Leg uit waarom de consument geen deel uit maakt van de levensmiddelenketen (zie </w:t>
      </w:r>
    </w:p>
    <w:p w14:paraId="65B016F6" w14:textId="77777777" w:rsidR="00620B15" w:rsidRDefault="00620B15" w:rsidP="00896EB6">
      <w:pPr>
        <w:tabs>
          <w:tab w:val="left" w:pos="0"/>
          <w:tab w:val="left" w:pos="360"/>
        </w:tabs>
        <w:rPr>
          <w:kern w:val="36"/>
        </w:rPr>
      </w:pPr>
      <w:r>
        <w:rPr>
          <w:kern w:val="36"/>
        </w:rPr>
        <w:tab/>
        <w:t>lesbrief Distributie).</w:t>
      </w:r>
    </w:p>
    <w:p w14:paraId="2F6DCA86" w14:textId="77777777" w:rsidR="00620B15" w:rsidRDefault="00620B15" w:rsidP="00896EB6">
      <w:pPr>
        <w:tabs>
          <w:tab w:val="left" w:pos="0"/>
          <w:tab w:val="left" w:pos="360"/>
        </w:tabs>
        <w:rPr>
          <w:kern w:val="36"/>
        </w:rPr>
      </w:pPr>
      <w:r>
        <w:rPr>
          <w:kern w:val="36"/>
        </w:rPr>
        <w:t xml:space="preserve">H)  Bereken hoeveel procent van de totale toegevoegde waarde van de levensmiddelenketen </w:t>
      </w:r>
    </w:p>
    <w:p w14:paraId="21FF4F19" w14:textId="77777777" w:rsidR="00620B15" w:rsidRDefault="00620B15" w:rsidP="00896EB6">
      <w:pPr>
        <w:tabs>
          <w:tab w:val="left" w:pos="0"/>
          <w:tab w:val="left" w:pos="360"/>
        </w:tabs>
        <w:rPr>
          <w:kern w:val="36"/>
        </w:rPr>
      </w:pPr>
      <w:r>
        <w:rPr>
          <w:kern w:val="36"/>
        </w:rPr>
        <w:tab/>
        <w:t xml:space="preserve">behaald wordt door de retailsector. </w:t>
      </w:r>
    </w:p>
    <w:p w14:paraId="5A8A3272" w14:textId="77777777" w:rsidR="00620B15" w:rsidRDefault="00620B15" w:rsidP="0044528A">
      <w:pPr>
        <w:tabs>
          <w:tab w:val="left" w:pos="0"/>
          <w:tab w:val="left" w:pos="360"/>
        </w:tabs>
        <w:rPr>
          <w:kern w:val="36"/>
        </w:rPr>
      </w:pPr>
      <w:r>
        <w:rPr>
          <w:kern w:val="36"/>
        </w:rPr>
        <w:t xml:space="preserve">I) </w:t>
      </w:r>
      <w:r>
        <w:rPr>
          <w:kern w:val="36"/>
        </w:rPr>
        <w:tab/>
        <w:t xml:space="preserve">Leg uit dat op basis van het antwoord op vraag H niet te concluderen valt dat de </w:t>
      </w:r>
    </w:p>
    <w:p w14:paraId="02BE1A62" w14:textId="77777777" w:rsidR="00620B15" w:rsidRDefault="00620B15" w:rsidP="0044528A">
      <w:pPr>
        <w:tabs>
          <w:tab w:val="left" w:pos="0"/>
          <w:tab w:val="left" w:pos="360"/>
        </w:tabs>
        <w:rPr>
          <w:kern w:val="36"/>
        </w:rPr>
      </w:pPr>
      <w:r>
        <w:rPr>
          <w:kern w:val="36"/>
        </w:rPr>
        <w:tab/>
        <w:t xml:space="preserve">retailsector de hoogste winstmarge kent.  </w:t>
      </w:r>
    </w:p>
    <w:p w14:paraId="5206C258" w14:textId="77777777" w:rsidR="00620B15" w:rsidRDefault="00620B15" w:rsidP="0044528A">
      <w:pPr>
        <w:tabs>
          <w:tab w:val="left" w:pos="0"/>
          <w:tab w:val="left" w:pos="360"/>
        </w:tabs>
        <w:rPr>
          <w:kern w:val="36"/>
        </w:rPr>
      </w:pPr>
    </w:p>
    <w:p w14:paraId="685A9245" w14:textId="77777777" w:rsidR="00620B15" w:rsidRPr="00304351" w:rsidRDefault="00620B15" w:rsidP="00304351">
      <w:pPr>
        <w:tabs>
          <w:tab w:val="left" w:pos="0"/>
          <w:tab w:val="left" w:pos="360"/>
        </w:tabs>
      </w:pPr>
      <w:r w:rsidRPr="00304351">
        <w:rPr>
          <w:kern w:val="36"/>
        </w:rPr>
        <w:t xml:space="preserve">Ook de Rabobank heeft een visie ontwikkeld over de ontwikkelingen in de levensmiddelenketen. Zij zien vooral een grote ontwikkeling in de private labels, die naar hun verwachting een marktaandeel gaan halen van 50% in 2025. Deze voorspelling is mede gebaseerd op de trend dat supermarkten zich steeds meer willen richten op </w:t>
      </w:r>
      <w:r w:rsidRPr="00304351">
        <w:t>de consument</w:t>
      </w:r>
      <w:r>
        <w:t>.</w:t>
      </w:r>
      <w:r w:rsidRPr="00304351">
        <w:t xml:space="preserve"> </w:t>
      </w:r>
      <w:r>
        <w:t>H</w:t>
      </w:r>
      <w:r w:rsidRPr="00304351">
        <w:t>et eigen merk is daarbij een van de mogelijke klantenbindinginstrumenten. Daarnaast heeft het aanbieden van private labels ook en</w:t>
      </w:r>
      <w:r>
        <w:t>kele</w:t>
      </w:r>
      <w:r w:rsidRPr="00304351">
        <w:t xml:space="preserve"> economische reden</w:t>
      </w:r>
      <w:r>
        <w:t>en</w:t>
      </w:r>
      <w:r w:rsidRPr="00304351">
        <w:t xml:space="preserve">: </w:t>
      </w:r>
      <w:r>
        <w:t>d</w:t>
      </w:r>
      <w:r w:rsidRPr="00304351">
        <w:t xml:space="preserve">oor schaalvoordelen </w:t>
      </w:r>
    </w:p>
    <w:p w14:paraId="75AA4BE9" w14:textId="77777777" w:rsidR="00620B15" w:rsidRPr="00111F41" w:rsidRDefault="00620B15" w:rsidP="00111F41">
      <w:pPr>
        <w:autoSpaceDE w:val="0"/>
        <w:autoSpaceDN w:val="0"/>
        <w:adjustRightInd w:val="0"/>
      </w:pPr>
      <w:r w:rsidRPr="00304351">
        <w:t>loont het om deze producten te laten produceren</w:t>
      </w:r>
      <w:r>
        <w:t>,</w:t>
      </w:r>
      <w:r w:rsidRPr="00304351">
        <w:t xml:space="preserve"> </w:t>
      </w:r>
      <w:r>
        <w:t>o</w:t>
      </w:r>
      <w:r w:rsidRPr="00304351">
        <w:t>ok hogere marges en meer controle op private labelproducten zijn voordelen voor de supermarkten om hier meer schapruimte aan toe te kennen. Ten</w:t>
      </w:r>
      <w:r>
        <w:t xml:space="preserve"> </w:t>
      </w:r>
      <w:r w:rsidRPr="00304351">
        <w:t>slotte switchen consumenten in economisch mindere tijden naar goedkopere p</w:t>
      </w:r>
      <w:r w:rsidRPr="00111F41">
        <w:t xml:space="preserve">roducten. Zij zien private label als een goed alternatief voor een A-merk vanwege de scherpe prijs-kwaliteitverhouding. </w:t>
      </w:r>
      <w:r>
        <w:t xml:space="preserve">Vooral sinds supermarkten </w:t>
      </w:r>
      <w:r w:rsidRPr="00111F41">
        <w:t>binnen één bepaalde productcategorie verschillende private</w:t>
      </w:r>
      <w:r>
        <w:t xml:space="preserve"> </w:t>
      </w:r>
      <w:r w:rsidRPr="00111F41">
        <w:t>label-producten aanbieden</w:t>
      </w:r>
      <w:r>
        <w:t xml:space="preserve"> (</w:t>
      </w:r>
      <w:r w:rsidRPr="00111F41">
        <w:t>goedkoop, duurzaam, kwaliteit).</w:t>
      </w:r>
      <w:r>
        <w:t xml:space="preserve"> Zo onderscheidt men binnen de private labels de volgende categorieën:</w:t>
      </w:r>
    </w:p>
    <w:p w14:paraId="212F2A99" w14:textId="77777777" w:rsidR="00620B15" w:rsidRPr="00111F41" w:rsidRDefault="00620B15" w:rsidP="00111F41">
      <w:pPr>
        <w:autoSpaceDE w:val="0"/>
        <w:autoSpaceDN w:val="0"/>
        <w:adjustRightInd w:val="0"/>
        <w:rPr>
          <w:color w:val="000000"/>
        </w:rPr>
      </w:pPr>
      <w:r w:rsidRPr="00111F41">
        <w:rPr>
          <w:color w:val="203585"/>
        </w:rPr>
        <w:t xml:space="preserve">• </w:t>
      </w:r>
      <w:r w:rsidRPr="00111F41">
        <w:rPr>
          <w:color w:val="000000"/>
        </w:rPr>
        <w:t>Eigen naam producten zoals Plus, C1000 en Spar;</w:t>
      </w:r>
    </w:p>
    <w:p w14:paraId="2981FA4A" w14:textId="77777777" w:rsidR="00620B15" w:rsidRPr="00111F41" w:rsidRDefault="00620B15" w:rsidP="00111F41">
      <w:pPr>
        <w:autoSpaceDE w:val="0"/>
        <w:autoSpaceDN w:val="0"/>
        <w:adjustRightInd w:val="0"/>
        <w:rPr>
          <w:color w:val="000000"/>
        </w:rPr>
      </w:pPr>
      <w:r w:rsidRPr="00111F41">
        <w:rPr>
          <w:color w:val="203585"/>
        </w:rPr>
        <w:t xml:space="preserve">• </w:t>
      </w:r>
      <w:r w:rsidRPr="00111F41">
        <w:rPr>
          <w:color w:val="000000"/>
        </w:rPr>
        <w:t>Exclusieve namen gericht op een goedkoop alternatief zoals Euroshopper;</w:t>
      </w:r>
    </w:p>
    <w:p w14:paraId="7A6BA007" w14:textId="77777777" w:rsidR="00620B15" w:rsidRPr="00111F41" w:rsidRDefault="00620B15" w:rsidP="00111F41">
      <w:pPr>
        <w:autoSpaceDE w:val="0"/>
        <w:autoSpaceDN w:val="0"/>
        <w:adjustRightInd w:val="0"/>
        <w:rPr>
          <w:color w:val="000000"/>
        </w:rPr>
      </w:pPr>
      <w:r w:rsidRPr="00111F41">
        <w:rPr>
          <w:color w:val="203585"/>
        </w:rPr>
        <w:t xml:space="preserve">• </w:t>
      </w:r>
      <w:r w:rsidRPr="00111F41">
        <w:rPr>
          <w:color w:val="000000"/>
        </w:rPr>
        <w:t>Exclusieve namen: Puur &amp; Eerlijk, Excellent (beide Albert Heijn);</w:t>
      </w:r>
    </w:p>
    <w:p w14:paraId="0DE720C3" w14:textId="77777777" w:rsidR="00620B15" w:rsidRDefault="00620B15" w:rsidP="00111F41">
      <w:pPr>
        <w:autoSpaceDE w:val="0"/>
        <w:autoSpaceDN w:val="0"/>
        <w:adjustRightInd w:val="0"/>
        <w:rPr>
          <w:rFonts w:ascii="MyriadPro-Semibold" w:hAnsi="MyriadPro-Semibold" w:cs="MyriadPro-Semibold"/>
          <w:color w:val="000000"/>
          <w:sz w:val="20"/>
          <w:szCs w:val="20"/>
        </w:rPr>
      </w:pPr>
      <w:r w:rsidRPr="00111F41">
        <w:rPr>
          <w:color w:val="203585"/>
        </w:rPr>
        <w:t xml:space="preserve">• </w:t>
      </w:r>
      <w:r w:rsidRPr="00111F41">
        <w:rPr>
          <w:color w:val="000000"/>
        </w:rPr>
        <w:t>‘Fancy’ labels die veelal gevoerd worden door harddiscounters zoals Lidl en Aldi.</w:t>
      </w:r>
    </w:p>
    <w:p w14:paraId="76E081D3" w14:textId="77777777" w:rsidR="00620B15" w:rsidRDefault="00620B15" w:rsidP="00160FAF">
      <w:pPr>
        <w:autoSpaceDE w:val="0"/>
        <w:autoSpaceDN w:val="0"/>
        <w:adjustRightInd w:val="0"/>
        <w:rPr>
          <w:rFonts w:ascii="MyriadPro-Light" w:hAnsi="MyriadPro-Light" w:cs="MyriadPro-Light"/>
          <w:sz w:val="20"/>
          <w:szCs w:val="20"/>
        </w:rPr>
      </w:pPr>
    </w:p>
    <w:p w14:paraId="1DE16335" w14:textId="77777777" w:rsidR="00620B15" w:rsidRDefault="00620B15" w:rsidP="004F6827">
      <w:pPr>
        <w:autoSpaceDE w:val="0"/>
        <w:autoSpaceDN w:val="0"/>
        <w:adjustRightInd w:val="0"/>
      </w:pPr>
      <w:r>
        <w:rPr>
          <w:kern w:val="36"/>
        </w:rPr>
        <w:t xml:space="preserve">J) </w:t>
      </w:r>
      <w:r>
        <w:t xml:space="preserve">Geef een reden waarom zowel de Rabobank als de ING als stakeholders (zie lesbrief </w:t>
      </w:r>
    </w:p>
    <w:p w14:paraId="6AA79CED" w14:textId="77777777" w:rsidR="00620B15" w:rsidRDefault="00620B15" w:rsidP="00833ECE">
      <w:pPr>
        <w:autoSpaceDE w:val="0"/>
        <w:autoSpaceDN w:val="0"/>
        <w:adjustRightInd w:val="0"/>
        <w:ind w:left="360"/>
        <w:rPr>
          <w:kern w:val="36"/>
        </w:rPr>
      </w:pPr>
      <w:r>
        <w:t xml:space="preserve">Massacommunicatie) zich hebben georiënteerd op de ontwikkeling van de levensmiddelenketen     </w:t>
      </w:r>
    </w:p>
    <w:p w14:paraId="3B3C2489" w14:textId="77777777" w:rsidR="00620B15" w:rsidRDefault="00620B15" w:rsidP="0044528A">
      <w:pPr>
        <w:tabs>
          <w:tab w:val="left" w:pos="0"/>
          <w:tab w:val="left" w:pos="360"/>
        </w:tabs>
        <w:rPr>
          <w:kern w:val="36"/>
        </w:rPr>
      </w:pPr>
      <w:r>
        <w:rPr>
          <w:kern w:val="36"/>
        </w:rPr>
        <w:t xml:space="preserve">K) Hoort het meer aanbieden van private labels meer bij het scenario van de 4P’s of van de </w:t>
      </w:r>
    </w:p>
    <w:p w14:paraId="0D527FF4" w14:textId="77777777" w:rsidR="00620B15" w:rsidRDefault="00620B15" w:rsidP="0044528A">
      <w:pPr>
        <w:tabs>
          <w:tab w:val="left" w:pos="0"/>
          <w:tab w:val="left" w:pos="360"/>
        </w:tabs>
        <w:rPr>
          <w:kern w:val="36"/>
        </w:rPr>
      </w:pPr>
      <w:r>
        <w:rPr>
          <w:kern w:val="36"/>
        </w:rPr>
        <w:tab/>
        <w:t>4C’s? Motiveer je antwoord door gebruik te maken van de tekst hierboven.</w:t>
      </w:r>
    </w:p>
    <w:p w14:paraId="3103617F" w14:textId="77777777" w:rsidR="00620B15" w:rsidRDefault="00620B15" w:rsidP="0044528A">
      <w:pPr>
        <w:tabs>
          <w:tab w:val="left" w:pos="0"/>
          <w:tab w:val="left" w:pos="360"/>
        </w:tabs>
        <w:rPr>
          <w:kern w:val="36"/>
        </w:rPr>
      </w:pPr>
      <w:r>
        <w:rPr>
          <w:kern w:val="36"/>
        </w:rPr>
        <w:t xml:space="preserve">L) Geef van elke categorie van de private labels aan of het een huismerk is of een eigen merk. </w:t>
      </w:r>
    </w:p>
    <w:p w14:paraId="69C02544" w14:textId="77777777" w:rsidR="00620B15" w:rsidRDefault="00620B15" w:rsidP="0044528A">
      <w:pPr>
        <w:tabs>
          <w:tab w:val="left" w:pos="0"/>
          <w:tab w:val="left" w:pos="360"/>
        </w:tabs>
        <w:rPr>
          <w:b/>
          <w:u w:val="single"/>
        </w:rPr>
      </w:pPr>
      <w:r>
        <w:rPr>
          <w:kern w:val="36"/>
        </w:rPr>
        <w:tab/>
        <w:t>(zie lesbrief  Product &amp; Prijs).</w:t>
      </w:r>
      <w:r w:rsidRPr="000A5642">
        <w:rPr>
          <w:kern w:val="36"/>
        </w:rPr>
        <w:br w:type="page"/>
      </w:r>
      <w:r w:rsidRPr="0046660A">
        <w:rPr>
          <w:b/>
          <w:kern w:val="36"/>
          <w:u w:val="single"/>
        </w:rPr>
        <w:lastRenderedPageBreak/>
        <w:t>I</w:t>
      </w:r>
      <w:r w:rsidRPr="0046660A">
        <w:rPr>
          <w:b/>
          <w:u w:val="single"/>
        </w:rPr>
        <w:t>nf</w:t>
      </w:r>
      <w:r>
        <w:rPr>
          <w:b/>
          <w:u w:val="single"/>
        </w:rPr>
        <w:t>ormatiebron 1</w:t>
      </w:r>
    </w:p>
    <w:p w14:paraId="0B62A3A2" w14:textId="77777777" w:rsidR="00620B15" w:rsidRDefault="00620B15" w:rsidP="001A1C9B">
      <w:pPr>
        <w:autoSpaceDE w:val="0"/>
        <w:autoSpaceDN w:val="0"/>
        <w:adjustRightInd w:val="0"/>
        <w:rPr>
          <w:rFonts w:ascii="RockwellStd-Light" w:hAnsi="RockwellStd-Light" w:cs="RockwellStd-Light"/>
          <w:b/>
          <w:sz w:val="20"/>
          <w:szCs w:val="20"/>
        </w:rPr>
      </w:pPr>
    </w:p>
    <w:p w14:paraId="622C2FFA" w14:textId="77777777" w:rsidR="00620B15" w:rsidRPr="00260B8F" w:rsidRDefault="00620B15" w:rsidP="001A1C9B">
      <w:pPr>
        <w:autoSpaceDE w:val="0"/>
        <w:autoSpaceDN w:val="0"/>
        <w:adjustRightInd w:val="0"/>
        <w:rPr>
          <w:b/>
          <w:color w:val="FF6600"/>
          <w:u w:val="single"/>
        </w:rPr>
      </w:pPr>
      <w:r w:rsidRPr="00260B8F">
        <w:rPr>
          <w:b/>
          <w:color w:val="FF6600"/>
          <w:u w:val="single"/>
        </w:rPr>
        <w:t>A</w:t>
      </w:r>
    </w:p>
    <w:p w14:paraId="54397784" w14:textId="77777777" w:rsidR="00620B15" w:rsidRDefault="00620B15" w:rsidP="001A1C9B">
      <w:pPr>
        <w:autoSpaceDE w:val="0"/>
        <w:autoSpaceDN w:val="0"/>
        <w:adjustRightInd w:val="0"/>
        <w:rPr>
          <w:rFonts w:ascii="RockwellStd-Light" w:hAnsi="RockwellStd-Light" w:cs="RockwellStd-Light"/>
          <w:b/>
          <w:sz w:val="20"/>
          <w:szCs w:val="20"/>
        </w:rPr>
      </w:pPr>
      <w:r w:rsidRPr="001A1C9B">
        <w:rPr>
          <w:rFonts w:ascii="RockwellStd-Light" w:hAnsi="RockwellStd-Light" w:cs="RockwellStd-Light"/>
          <w:b/>
          <w:sz w:val="20"/>
          <w:szCs w:val="20"/>
        </w:rPr>
        <w:t xml:space="preserve">“Nederlandse consumenten neigen steeds meer naar gemak </w:t>
      </w:r>
    </w:p>
    <w:p w14:paraId="3BAAD9CC" w14:textId="77777777" w:rsidR="00620B15" w:rsidRDefault="00620B15" w:rsidP="001A1C9B">
      <w:pPr>
        <w:autoSpaceDE w:val="0"/>
        <w:autoSpaceDN w:val="0"/>
        <w:adjustRightInd w:val="0"/>
        <w:rPr>
          <w:rFonts w:ascii="RockwellStd-Light" w:hAnsi="RockwellStd-Light" w:cs="RockwellStd-Light"/>
          <w:b/>
          <w:sz w:val="20"/>
          <w:szCs w:val="20"/>
        </w:rPr>
      </w:pPr>
      <w:r w:rsidRPr="001A1C9B">
        <w:rPr>
          <w:rFonts w:ascii="RockwellStd-Light" w:hAnsi="RockwellStd-Light" w:cs="RockwellStd-Light"/>
          <w:b/>
          <w:sz w:val="20"/>
          <w:szCs w:val="20"/>
        </w:rPr>
        <w:t xml:space="preserve">omdat ruimte in de agenda krapper wordt </w:t>
      </w:r>
    </w:p>
    <w:p w14:paraId="24722E98" w14:textId="77777777" w:rsidR="00620B15" w:rsidRDefault="00620B15" w:rsidP="001A1C9B">
      <w:pPr>
        <w:tabs>
          <w:tab w:val="left" w:pos="0"/>
          <w:tab w:val="left" w:pos="360"/>
        </w:tabs>
        <w:rPr>
          <w:rFonts w:ascii="RockwellStd-Light" w:hAnsi="RockwellStd-Light" w:cs="RockwellStd-Light"/>
          <w:b/>
          <w:sz w:val="20"/>
          <w:szCs w:val="20"/>
        </w:rPr>
      </w:pPr>
      <w:r w:rsidRPr="001A1C9B">
        <w:rPr>
          <w:rFonts w:ascii="RockwellStd-Light" w:hAnsi="RockwellStd-Light" w:cs="RockwellStd-Light"/>
          <w:b/>
          <w:sz w:val="20"/>
          <w:szCs w:val="20"/>
        </w:rPr>
        <w:t xml:space="preserve">en het niet in de aard zit tijd te nemen voor </w:t>
      </w:r>
      <w:r>
        <w:rPr>
          <w:rFonts w:ascii="RockwellStd-Light" w:hAnsi="RockwellStd-Light" w:cs="RockwellStd-Light"/>
          <w:b/>
          <w:sz w:val="20"/>
          <w:szCs w:val="20"/>
        </w:rPr>
        <w:t>fo</w:t>
      </w:r>
      <w:r w:rsidRPr="001A1C9B">
        <w:rPr>
          <w:rFonts w:ascii="RockwellStd-Light" w:hAnsi="RockwellStd-Light" w:cs="RockwellStd-Light"/>
          <w:b/>
          <w:sz w:val="20"/>
          <w:szCs w:val="20"/>
        </w:rPr>
        <w:t>od.”</w:t>
      </w:r>
    </w:p>
    <w:p w14:paraId="4B723BA2" w14:textId="77777777" w:rsidR="00620B15" w:rsidRPr="00260B8F" w:rsidRDefault="00620B15" w:rsidP="001A1C9B">
      <w:pPr>
        <w:tabs>
          <w:tab w:val="left" w:pos="0"/>
          <w:tab w:val="left" w:pos="360"/>
        </w:tabs>
        <w:rPr>
          <w:b/>
          <w:color w:val="FF6600"/>
          <w:u w:val="single"/>
        </w:rPr>
      </w:pPr>
      <w:r w:rsidRPr="00260B8F">
        <w:rPr>
          <w:b/>
          <w:color w:val="FF6600"/>
          <w:u w:val="single"/>
        </w:rPr>
        <w:t>B)</w:t>
      </w:r>
    </w:p>
    <w:p w14:paraId="78669B74" w14:textId="77777777" w:rsidR="00620B15" w:rsidRDefault="00C70200" w:rsidP="001A1C9B">
      <w:pPr>
        <w:tabs>
          <w:tab w:val="left" w:pos="0"/>
          <w:tab w:val="left" w:pos="360"/>
        </w:tabs>
        <w:rPr>
          <w:b/>
          <w:kern w:val="36"/>
          <w:u w:val="single"/>
        </w:rPr>
      </w:pPr>
      <w:r>
        <w:rPr>
          <w:b/>
          <w:kern w:val="36"/>
          <w:u w:val="single"/>
        </w:rPr>
        <w:pict w14:anchorId="705EEB23">
          <v:shape id="_x0000_i1026" type="#_x0000_t75" style="width:176pt;height:46pt">
            <v:imagedata r:id="rId6" o:title=""/>
          </v:shape>
        </w:pict>
      </w:r>
    </w:p>
    <w:p w14:paraId="136696AC" w14:textId="77777777" w:rsidR="00620B15" w:rsidRPr="00260B8F" w:rsidRDefault="00620B15" w:rsidP="001A1C9B">
      <w:pPr>
        <w:tabs>
          <w:tab w:val="left" w:pos="0"/>
          <w:tab w:val="left" w:pos="360"/>
        </w:tabs>
        <w:rPr>
          <w:b/>
          <w:color w:val="FF6600"/>
          <w:kern w:val="36"/>
          <w:u w:val="single"/>
        </w:rPr>
      </w:pPr>
      <w:r w:rsidRPr="00260B8F">
        <w:rPr>
          <w:b/>
          <w:color w:val="FF6600"/>
          <w:kern w:val="36"/>
          <w:u w:val="single"/>
        </w:rPr>
        <w:t>C)</w:t>
      </w:r>
    </w:p>
    <w:p w14:paraId="61AEFCC1" w14:textId="77777777" w:rsidR="00620B15" w:rsidRDefault="00C70200" w:rsidP="004E4A04">
      <w:pPr>
        <w:tabs>
          <w:tab w:val="left" w:pos="0"/>
        </w:tabs>
        <w:rPr>
          <w:b/>
          <w:kern w:val="36"/>
          <w:u w:val="single"/>
        </w:rPr>
      </w:pPr>
      <w:r>
        <w:rPr>
          <w:b/>
          <w:kern w:val="36"/>
          <w:u w:val="single"/>
        </w:rPr>
        <w:pict w14:anchorId="046F90BC">
          <v:shape id="_x0000_i1027" type="#_x0000_t75" style="width:197pt;height:36pt">
            <v:imagedata r:id="rId7" o:title=""/>
          </v:shape>
        </w:pict>
      </w:r>
    </w:p>
    <w:p w14:paraId="112361C4" w14:textId="77777777" w:rsidR="00620B15" w:rsidRPr="00260B8F" w:rsidRDefault="00620B15" w:rsidP="004E4A04">
      <w:pPr>
        <w:tabs>
          <w:tab w:val="left" w:pos="0"/>
        </w:tabs>
        <w:rPr>
          <w:b/>
          <w:color w:val="FF6600"/>
          <w:kern w:val="36"/>
          <w:u w:val="single"/>
        </w:rPr>
      </w:pPr>
      <w:r w:rsidRPr="00260B8F">
        <w:rPr>
          <w:b/>
          <w:color w:val="FF6600"/>
          <w:kern w:val="36"/>
          <w:u w:val="single"/>
        </w:rPr>
        <w:t>D)</w:t>
      </w:r>
    </w:p>
    <w:p w14:paraId="156A5407" w14:textId="77777777" w:rsidR="00620B15" w:rsidRDefault="00C70200" w:rsidP="004E4A04">
      <w:pPr>
        <w:tabs>
          <w:tab w:val="left" w:pos="0"/>
        </w:tabs>
      </w:pPr>
      <w:r>
        <w:pict w14:anchorId="471028E1">
          <v:shape id="_x0000_i1028" type="#_x0000_t75" style="width:161pt;height:59pt" o:allowoverlap="f">
            <v:imagedata r:id="rId8" o:title=""/>
          </v:shape>
        </w:pict>
      </w:r>
    </w:p>
    <w:p w14:paraId="2B265062" w14:textId="77777777" w:rsidR="00620B15" w:rsidRPr="00A76E66" w:rsidRDefault="00620B15" w:rsidP="004E4A04">
      <w:pPr>
        <w:tabs>
          <w:tab w:val="left" w:pos="0"/>
        </w:tabs>
        <w:rPr>
          <w:b/>
          <w:color w:val="FF6600"/>
          <w:u w:val="single"/>
        </w:rPr>
      </w:pPr>
      <w:r w:rsidRPr="00A76E66">
        <w:rPr>
          <w:b/>
          <w:color w:val="FF6600"/>
          <w:u w:val="single"/>
        </w:rPr>
        <w:t>E)</w:t>
      </w:r>
    </w:p>
    <w:p w14:paraId="77E69025" w14:textId="77777777" w:rsidR="00620B15" w:rsidRPr="00062540" w:rsidRDefault="00620B15" w:rsidP="004E4A04">
      <w:pPr>
        <w:tabs>
          <w:tab w:val="left" w:pos="0"/>
        </w:tabs>
        <w:rPr>
          <w:b/>
          <w:kern w:val="36"/>
          <w:u w:val="single"/>
        </w:rPr>
      </w:pPr>
      <w:r w:rsidRPr="001A1C9B">
        <w:rPr>
          <w:rFonts w:ascii="RockwellStd-Light" w:hAnsi="RockwellStd-Light" w:cs="RockwellStd-Light"/>
          <w:b/>
          <w:sz w:val="20"/>
          <w:szCs w:val="20"/>
        </w:rPr>
        <w:t>“Apparaten zoals ‘smart fridges’ (slimme koelkasten) kunnen hun eigen inhoud monitoren en dit online communiceren naar je mobiele telefoon of zelf een bestelling plaatsen.”</w:t>
      </w:r>
    </w:p>
    <w:p w14:paraId="6334E5C2" w14:textId="77777777" w:rsidR="00620B15" w:rsidRPr="00260B8F" w:rsidRDefault="00620B15" w:rsidP="004E4A04">
      <w:pPr>
        <w:tabs>
          <w:tab w:val="left" w:pos="0"/>
        </w:tabs>
        <w:rPr>
          <w:b/>
          <w:color w:val="FF6600"/>
          <w:kern w:val="36"/>
          <w:u w:val="single"/>
        </w:rPr>
      </w:pPr>
      <w:r>
        <w:rPr>
          <w:b/>
          <w:color w:val="FF6600"/>
          <w:kern w:val="36"/>
          <w:u w:val="single"/>
        </w:rPr>
        <w:t>F)</w:t>
      </w:r>
    </w:p>
    <w:p w14:paraId="7F5F294D" w14:textId="77777777" w:rsidR="00620B15" w:rsidRDefault="00C70200" w:rsidP="004E4A04">
      <w:pPr>
        <w:tabs>
          <w:tab w:val="left" w:pos="0"/>
        </w:tabs>
        <w:rPr>
          <w:b/>
          <w:kern w:val="36"/>
          <w:u w:val="single"/>
        </w:rPr>
      </w:pPr>
      <w:r>
        <w:pict w14:anchorId="51FD1C80">
          <v:shape id="_x0000_i1029" type="#_x0000_t75" style="width:137pt;height:45pt" o:allowoverlap="f">
            <v:imagedata r:id="rId9" o:title=""/>
          </v:shape>
        </w:pict>
      </w:r>
    </w:p>
    <w:p w14:paraId="00C06969" w14:textId="77777777" w:rsidR="00620B15" w:rsidRPr="00260B8F" w:rsidRDefault="00620B15" w:rsidP="004E4A04">
      <w:pPr>
        <w:tabs>
          <w:tab w:val="left" w:pos="0"/>
        </w:tabs>
        <w:rPr>
          <w:b/>
          <w:color w:val="FF6600"/>
          <w:kern w:val="36"/>
          <w:u w:val="single"/>
        </w:rPr>
      </w:pPr>
      <w:r>
        <w:rPr>
          <w:b/>
          <w:color w:val="FF6600"/>
          <w:kern w:val="36"/>
          <w:u w:val="single"/>
        </w:rPr>
        <w:t>G)</w:t>
      </w:r>
    </w:p>
    <w:p w14:paraId="70988D20" w14:textId="77777777" w:rsidR="00620B15" w:rsidRDefault="00C70200" w:rsidP="004E4A04">
      <w:pPr>
        <w:tabs>
          <w:tab w:val="left" w:pos="0"/>
        </w:tabs>
        <w:rPr>
          <w:b/>
          <w:kern w:val="36"/>
          <w:u w:val="single"/>
        </w:rPr>
      </w:pPr>
      <w:r>
        <w:rPr>
          <w:b/>
          <w:kern w:val="36"/>
          <w:u w:val="single"/>
        </w:rPr>
        <w:pict w14:anchorId="763B2F64">
          <v:shape id="_x0000_i1030" type="#_x0000_t75" style="width:305pt;height:28pt">
            <v:imagedata r:id="rId10" o:title=""/>
          </v:shape>
        </w:pict>
      </w:r>
    </w:p>
    <w:p w14:paraId="276AF65F" w14:textId="77777777" w:rsidR="00620B15" w:rsidRPr="00260B8F" w:rsidRDefault="00620B15" w:rsidP="004E4A04">
      <w:pPr>
        <w:tabs>
          <w:tab w:val="left" w:pos="0"/>
        </w:tabs>
        <w:rPr>
          <w:b/>
          <w:color w:val="FF6600"/>
          <w:kern w:val="36"/>
          <w:u w:val="single"/>
        </w:rPr>
      </w:pPr>
      <w:r w:rsidRPr="00260B8F">
        <w:rPr>
          <w:b/>
          <w:color w:val="FF6600"/>
          <w:kern w:val="36"/>
          <w:u w:val="single"/>
        </w:rPr>
        <w:t>H)</w:t>
      </w:r>
    </w:p>
    <w:p w14:paraId="4D7A4F30" w14:textId="77777777" w:rsidR="00620B15" w:rsidRPr="00062540" w:rsidRDefault="00C70200" w:rsidP="004E4A04">
      <w:pPr>
        <w:tabs>
          <w:tab w:val="left" w:pos="0"/>
        </w:tabs>
        <w:rPr>
          <w:b/>
          <w:kern w:val="36"/>
          <w:u w:val="single"/>
        </w:rPr>
      </w:pPr>
      <w:r>
        <w:rPr>
          <w:b/>
          <w:kern w:val="36"/>
          <w:u w:val="single"/>
        </w:rPr>
        <w:pict w14:anchorId="579607D0">
          <v:shape id="_x0000_i1031" type="#_x0000_t75" style="width:326pt;height:17pt">
            <v:imagedata r:id="rId11" o:title=""/>
          </v:shape>
        </w:pict>
      </w:r>
    </w:p>
    <w:p w14:paraId="683CB283" w14:textId="77777777" w:rsidR="00620B15" w:rsidRPr="00260B8F" w:rsidRDefault="00620B15" w:rsidP="004E4A04">
      <w:pPr>
        <w:tabs>
          <w:tab w:val="left" w:pos="0"/>
        </w:tabs>
        <w:rPr>
          <w:b/>
          <w:color w:val="FF6600"/>
          <w:kern w:val="36"/>
          <w:u w:val="single"/>
        </w:rPr>
      </w:pPr>
      <w:r w:rsidRPr="00260B8F">
        <w:rPr>
          <w:b/>
          <w:color w:val="FF6600"/>
          <w:kern w:val="36"/>
          <w:u w:val="single"/>
        </w:rPr>
        <w:t>I)</w:t>
      </w:r>
    </w:p>
    <w:p w14:paraId="7B992FC4" w14:textId="77777777" w:rsidR="00620B15" w:rsidRDefault="00C70200" w:rsidP="004E4A04">
      <w:pPr>
        <w:tabs>
          <w:tab w:val="left" w:pos="0"/>
        </w:tabs>
        <w:rPr>
          <w:b/>
          <w:kern w:val="36"/>
          <w:u w:val="single"/>
        </w:rPr>
      </w:pPr>
      <w:r>
        <w:rPr>
          <w:b/>
          <w:kern w:val="36"/>
          <w:u w:val="single"/>
        </w:rPr>
        <w:pict w14:anchorId="31B69366">
          <v:shape id="_x0000_i1032" type="#_x0000_t75" style="width:194pt;height:32pt">
            <v:imagedata r:id="rId12" o:title=""/>
          </v:shape>
        </w:pict>
      </w:r>
    </w:p>
    <w:p w14:paraId="3ECA6CC9" w14:textId="77777777" w:rsidR="00620B15" w:rsidRPr="00260B8F" w:rsidRDefault="00620B15" w:rsidP="00A45EEB">
      <w:pPr>
        <w:autoSpaceDE w:val="0"/>
        <w:autoSpaceDN w:val="0"/>
        <w:adjustRightInd w:val="0"/>
        <w:rPr>
          <w:b/>
          <w:color w:val="FF6600"/>
          <w:u w:val="single"/>
        </w:rPr>
      </w:pPr>
      <w:r w:rsidRPr="00260B8F">
        <w:rPr>
          <w:b/>
          <w:color w:val="FF6600"/>
          <w:u w:val="single"/>
        </w:rPr>
        <w:t>J)</w:t>
      </w:r>
    </w:p>
    <w:p w14:paraId="76BC3B26" w14:textId="77777777" w:rsidR="00620B15" w:rsidRPr="001A1C9B" w:rsidRDefault="00620B15" w:rsidP="00A45EEB">
      <w:pPr>
        <w:autoSpaceDE w:val="0"/>
        <w:autoSpaceDN w:val="0"/>
        <w:adjustRightInd w:val="0"/>
        <w:rPr>
          <w:rFonts w:ascii="RockwellStd-Light" w:hAnsi="RockwellStd-Light" w:cs="RockwellStd-Light"/>
          <w:b/>
          <w:sz w:val="20"/>
          <w:szCs w:val="20"/>
        </w:rPr>
      </w:pPr>
      <w:r w:rsidRPr="001A1C9B">
        <w:rPr>
          <w:rFonts w:ascii="RockwellStd-Light" w:hAnsi="RockwellStd-Light" w:cs="RockwellStd-Light"/>
          <w:b/>
          <w:sz w:val="20"/>
          <w:szCs w:val="20"/>
        </w:rPr>
        <w:t>“In Nederland wordt relatief het minst uitgegeven aan</w:t>
      </w:r>
    </w:p>
    <w:p w14:paraId="2E3622BB" w14:textId="77777777" w:rsidR="00620B15" w:rsidRDefault="00620B15" w:rsidP="00A45EEB">
      <w:pPr>
        <w:autoSpaceDE w:val="0"/>
        <w:autoSpaceDN w:val="0"/>
        <w:adjustRightInd w:val="0"/>
        <w:rPr>
          <w:rFonts w:ascii="RockwellStd-Light" w:hAnsi="RockwellStd-Light" w:cs="RockwellStd-Light"/>
          <w:b/>
          <w:sz w:val="20"/>
          <w:szCs w:val="20"/>
        </w:rPr>
      </w:pPr>
      <w:r w:rsidRPr="001A1C9B">
        <w:rPr>
          <w:rFonts w:ascii="RockwellStd-Light" w:hAnsi="RockwellStd-Light" w:cs="RockwellStd-Light"/>
          <w:b/>
          <w:sz w:val="20"/>
          <w:szCs w:val="20"/>
        </w:rPr>
        <w:t xml:space="preserve">voedsel, gemeten in een percentage van de totale uitgaven van huishoudens. </w:t>
      </w:r>
    </w:p>
    <w:p w14:paraId="6DDF3892" w14:textId="77777777" w:rsidR="00620B15" w:rsidRDefault="00620B15" w:rsidP="00A45EEB">
      <w:pPr>
        <w:autoSpaceDE w:val="0"/>
        <w:autoSpaceDN w:val="0"/>
        <w:adjustRightInd w:val="0"/>
        <w:rPr>
          <w:rFonts w:ascii="RockwellStd-Light" w:hAnsi="RockwellStd-Light" w:cs="RockwellStd-Light"/>
          <w:sz w:val="20"/>
          <w:szCs w:val="20"/>
        </w:rPr>
      </w:pPr>
      <w:r w:rsidRPr="001A1C9B">
        <w:rPr>
          <w:rFonts w:ascii="RockwellStd-Light" w:hAnsi="RockwellStd-Light" w:cs="RockwellStd-Light"/>
          <w:b/>
          <w:sz w:val="20"/>
          <w:szCs w:val="20"/>
        </w:rPr>
        <w:t>In 2009 was dit 17,4%, in Spanje lag dit percentage rond de 30%.”</w:t>
      </w:r>
    </w:p>
    <w:p w14:paraId="278A34AC" w14:textId="77777777" w:rsidR="00620B15" w:rsidRPr="00A76E66" w:rsidRDefault="00620B15" w:rsidP="008B24E2">
      <w:pPr>
        <w:autoSpaceDE w:val="0"/>
        <w:autoSpaceDN w:val="0"/>
        <w:adjustRightInd w:val="0"/>
        <w:rPr>
          <w:b/>
          <w:color w:val="FF6600"/>
          <w:u w:val="single"/>
        </w:rPr>
      </w:pPr>
      <w:r w:rsidRPr="00A76E66">
        <w:rPr>
          <w:b/>
          <w:color w:val="FF6600"/>
          <w:u w:val="single"/>
        </w:rPr>
        <w:t>K)</w:t>
      </w:r>
    </w:p>
    <w:p w14:paraId="7C13793B" w14:textId="77777777" w:rsidR="00620B15" w:rsidRDefault="00C70200" w:rsidP="004E4A04">
      <w:pPr>
        <w:tabs>
          <w:tab w:val="left" w:pos="0"/>
        </w:tabs>
        <w:rPr>
          <w:b/>
          <w:kern w:val="36"/>
          <w:u w:val="single"/>
        </w:rPr>
      </w:pPr>
      <w:r>
        <w:rPr>
          <w:b/>
          <w:kern w:val="36"/>
          <w:u w:val="single"/>
        </w:rPr>
        <w:pict w14:anchorId="44418BEB">
          <v:shape id="_x0000_i1033" type="#_x0000_t75" style="width:113pt;height:79pt">
            <v:imagedata r:id="rId13" o:title=""/>
          </v:shape>
        </w:pict>
      </w:r>
    </w:p>
    <w:p w14:paraId="121EC8F8" w14:textId="77777777" w:rsidR="00620B15" w:rsidRPr="00A76E66" w:rsidRDefault="00620B15" w:rsidP="004E4A04">
      <w:pPr>
        <w:tabs>
          <w:tab w:val="left" w:pos="0"/>
        </w:tabs>
        <w:rPr>
          <w:b/>
          <w:color w:val="FF6600"/>
          <w:kern w:val="36"/>
          <w:u w:val="single"/>
        </w:rPr>
      </w:pPr>
      <w:r w:rsidRPr="00A76E66">
        <w:rPr>
          <w:b/>
          <w:color w:val="FF6600"/>
          <w:kern w:val="36"/>
          <w:u w:val="single"/>
        </w:rPr>
        <w:t>L)</w:t>
      </w:r>
    </w:p>
    <w:p w14:paraId="42108160" w14:textId="77777777" w:rsidR="00620B15" w:rsidRPr="00A76E66" w:rsidRDefault="00620B15" w:rsidP="00A76E66">
      <w:pPr>
        <w:autoSpaceDE w:val="0"/>
        <w:autoSpaceDN w:val="0"/>
        <w:adjustRightInd w:val="0"/>
        <w:rPr>
          <w:rFonts w:ascii="RockwellStd-Light" w:hAnsi="RockwellStd-Light" w:cs="RockwellStd-Light"/>
          <w:b/>
          <w:sz w:val="20"/>
          <w:szCs w:val="20"/>
        </w:rPr>
      </w:pPr>
      <w:r>
        <w:rPr>
          <w:rFonts w:ascii="RockwellStd-Light" w:hAnsi="RockwellStd-Light" w:cs="RockwellStd-Light"/>
          <w:b/>
          <w:sz w:val="20"/>
          <w:szCs w:val="20"/>
        </w:rPr>
        <w:t>“</w:t>
      </w:r>
      <w:r w:rsidRPr="00A76E66">
        <w:rPr>
          <w:rFonts w:ascii="RockwellStd-Light" w:hAnsi="RockwellStd-Light" w:cs="RockwellStd-Light"/>
          <w:b/>
          <w:sz w:val="20"/>
          <w:szCs w:val="20"/>
        </w:rPr>
        <w:t>ICT zal een steeds belangrijkere rol spelen in de keten. Het moet ertoe bijdragen dat de food keten meer vraag</w:t>
      </w:r>
      <w:r>
        <w:rPr>
          <w:rFonts w:ascii="RockwellStd-Light" w:hAnsi="RockwellStd-Light" w:cs="RockwellStd-Light"/>
          <w:b/>
          <w:sz w:val="20"/>
          <w:szCs w:val="20"/>
        </w:rPr>
        <w:t xml:space="preserve"> </w:t>
      </w:r>
      <w:r w:rsidRPr="00A76E66">
        <w:rPr>
          <w:rFonts w:ascii="RockwellStd-Light" w:hAnsi="RockwellStd-Light" w:cs="RockwellStd-Light"/>
          <w:b/>
          <w:sz w:val="20"/>
          <w:szCs w:val="20"/>
        </w:rPr>
        <w:t>gestuurd wordt en minder aanbod gedreven.</w:t>
      </w:r>
      <w:r>
        <w:rPr>
          <w:rFonts w:ascii="RockwellStd-Light" w:hAnsi="RockwellStd-Light" w:cs="RockwellStd-Light"/>
          <w:b/>
          <w:sz w:val="20"/>
          <w:szCs w:val="20"/>
        </w:rPr>
        <w:t>”</w:t>
      </w:r>
    </w:p>
    <w:p w14:paraId="0E400AF5" w14:textId="77777777" w:rsidR="00620B15" w:rsidRDefault="00620B15" w:rsidP="004E4A04">
      <w:pPr>
        <w:tabs>
          <w:tab w:val="left" w:pos="0"/>
        </w:tabs>
        <w:rPr>
          <w:b/>
          <w:kern w:val="36"/>
          <w:u w:val="single"/>
        </w:rPr>
      </w:pPr>
      <w:r>
        <w:rPr>
          <w:b/>
          <w:kern w:val="36"/>
          <w:u w:val="single"/>
        </w:rPr>
        <w:br w:type="page"/>
      </w:r>
      <w:r>
        <w:rPr>
          <w:b/>
          <w:kern w:val="36"/>
          <w:u w:val="single"/>
        </w:rPr>
        <w:lastRenderedPageBreak/>
        <w:t>Informatiebron 2</w:t>
      </w:r>
    </w:p>
    <w:p w14:paraId="49F10CA1" w14:textId="77777777" w:rsidR="00620B15" w:rsidRDefault="00620B15" w:rsidP="0021480E">
      <w:pPr>
        <w:autoSpaceDE w:val="0"/>
        <w:autoSpaceDN w:val="0"/>
        <w:adjustRightInd w:val="0"/>
        <w:rPr>
          <w:rFonts w:ascii="RockwellStd-Light" w:hAnsi="RockwellStd-Light" w:cs="RockwellStd-Light"/>
          <w:sz w:val="20"/>
          <w:szCs w:val="20"/>
        </w:rPr>
      </w:pPr>
      <w:r w:rsidRPr="0021480E">
        <w:t>Om de twee scenario’s goed te kunnen onderscheiden zijn zij kort en krachtig gekoppeld aan 4 belangrijke thema’s</w:t>
      </w:r>
      <w:r>
        <w:t xml:space="preserve"> (Power, Price, Product en Profit) of </w:t>
      </w:r>
      <w:r w:rsidRPr="0021480E">
        <w:t>(Cooperation, Community, Consumer, Continuity).</w:t>
      </w:r>
      <w:r>
        <w:t xml:space="preserve"> </w:t>
      </w:r>
      <w:r w:rsidRPr="0021480E">
        <w:t xml:space="preserve">De </w:t>
      </w:r>
      <w:r>
        <w:t xml:space="preserve">beide </w:t>
      </w:r>
      <w:r w:rsidRPr="0021480E">
        <w:t xml:space="preserve">scenario’s worden </w:t>
      </w:r>
      <w:r>
        <w:t xml:space="preserve">in het onderstaand overzicht </w:t>
      </w:r>
      <w:r w:rsidRPr="0021480E">
        <w:t>verder uitgewerkt.</w:t>
      </w:r>
    </w:p>
    <w:p w14:paraId="3F7E5C19" w14:textId="77777777" w:rsidR="00620B15" w:rsidRDefault="00620B15" w:rsidP="004E4A04">
      <w:pPr>
        <w:tabs>
          <w:tab w:val="left" w:pos="0"/>
        </w:tabs>
        <w:rPr>
          <w:b/>
          <w:kern w:val="36"/>
          <w:u w:val="single"/>
        </w:rPr>
      </w:pPr>
    </w:p>
    <w:p w14:paraId="6D9FFC3A" w14:textId="77777777" w:rsidR="00620B15" w:rsidRDefault="00C70200" w:rsidP="004E4A04">
      <w:pPr>
        <w:tabs>
          <w:tab w:val="left" w:pos="0"/>
        </w:tabs>
        <w:rPr>
          <w:b/>
          <w:kern w:val="36"/>
          <w:u w:val="single"/>
        </w:rPr>
      </w:pPr>
      <w:r>
        <w:rPr>
          <w:noProof/>
        </w:rPr>
        <w:pict w14:anchorId="21A18460">
          <v:shapetype id="_x0000_t202" coordsize="21600,21600" o:spt="202" path="m0,0l0,21600,21600,21600,21600,0xe">
            <v:stroke joinstyle="miter"/>
            <v:path gradientshapeok="t" o:connecttype="rect"/>
          </v:shapetype>
          <v:shape id="_x0000_s1026" type="#_x0000_t202" style="position:absolute;margin-left:234pt;margin-top:3.6pt;width:207pt;height:207pt;z-index:251658240" strokecolor="#f60">
            <v:textbox>
              <w:txbxContent>
                <w:p w14:paraId="1267BC9F" w14:textId="77777777" w:rsidR="00620B15" w:rsidRDefault="00620B15" w:rsidP="00D274A1">
                  <w:pPr>
                    <w:rPr>
                      <w:b/>
                    </w:rPr>
                  </w:pPr>
                  <w:r w:rsidRPr="00D274A1">
                    <w:rPr>
                      <w:b/>
                    </w:rPr>
                    <w:t>4C</w:t>
                  </w:r>
                </w:p>
                <w:p w14:paraId="30BBD87C" w14:textId="77777777" w:rsidR="00620B15" w:rsidRDefault="00620B15" w:rsidP="00D274A1">
                  <w:r>
                    <w:t>- Pull-strategie</w:t>
                  </w:r>
                </w:p>
                <w:p w14:paraId="316CD3C8" w14:textId="77777777" w:rsidR="00620B15" w:rsidRDefault="00620B15" w:rsidP="00D274A1">
                  <w:r>
                    <w:t>- Afstemming Vraag &amp; Aanbod</w:t>
                  </w:r>
                </w:p>
                <w:p w14:paraId="3705651E" w14:textId="77777777" w:rsidR="00620B15" w:rsidRDefault="00620B15" w:rsidP="00D274A1">
                  <w:r>
                    <w:t>- Regionale productie</w:t>
                  </w:r>
                </w:p>
                <w:p w14:paraId="6504F1FC" w14:textId="77777777" w:rsidR="00620B15" w:rsidRDefault="00620B15" w:rsidP="00D274A1">
                  <w:r>
                    <w:t>- Kleinschalig en flexibel</w:t>
                  </w:r>
                </w:p>
                <w:p w14:paraId="09C43255" w14:textId="77777777" w:rsidR="00620B15" w:rsidRDefault="00620B15" w:rsidP="00D274A1">
                  <w:r>
                    <w:t>- Samenwerking</w:t>
                  </w:r>
                </w:p>
                <w:p w14:paraId="46CB9BEE" w14:textId="77777777" w:rsidR="00620B15" w:rsidRDefault="00620B15" w:rsidP="00D274A1">
                  <w:r>
                    <w:t>- Specialistisch</w:t>
                  </w:r>
                </w:p>
                <w:p w14:paraId="0C29C405" w14:textId="77777777" w:rsidR="00620B15" w:rsidRDefault="00620B15" w:rsidP="00D274A1">
                  <w:r>
                    <w:t>- Gericht op duurzaamheid</w:t>
                  </w:r>
                </w:p>
                <w:p w14:paraId="39519D07" w14:textId="77777777" w:rsidR="00620B15" w:rsidRDefault="00620B15" w:rsidP="00D274A1">
                  <w:r>
                    <w:t>- Ambachtelijk</w:t>
                  </w:r>
                </w:p>
                <w:p w14:paraId="0B01EBA4" w14:textId="77777777" w:rsidR="00620B15" w:rsidRDefault="00620B15" w:rsidP="00D274A1">
                  <w:r>
                    <w:t>- Maatschappelijke rol</w:t>
                  </w:r>
                </w:p>
                <w:p w14:paraId="63B99ABD" w14:textId="77777777" w:rsidR="00620B15" w:rsidRDefault="00620B15" w:rsidP="00D274A1">
                  <w:r>
                    <w:t>- Overheidssturing</w:t>
                  </w:r>
                </w:p>
                <w:p w14:paraId="62722C49" w14:textId="77777777" w:rsidR="00620B15" w:rsidRDefault="00620B15" w:rsidP="00D274A1">
                  <w:r>
                    <w:t>- Voedselveiligheid</w:t>
                  </w:r>
                </w:p>
                <w:p w14:paraId="5119CE60" w14:textId="77777777" w:rsidR="00620B15" w:rsidRDefault="00620B15" w:rsidP="00D274A1">
                  <w:r>
                    <w:t>- Differentiatie</w:t>
                  </w:r>
                </w:p>
                <w:p w14:paraId="660F1B41" w14:textId="77777777" w:rsidR="00620B15" w:rsidRPr="00D274A1" w:rsidRDefault="00620B15" w:rsidP="00D274A1">
                  <w:r>
                    <w:t>- Vraaggericht</w:t>
                  </w:r>
                </w:p>
              </w:txbxContent>
            </v:textbox>
          </v:shape>
        </w:pict>
      </w:r>
      <w:r>
        <w:rPr>
          <w:noProof/>
        </w:rPr>
        <w:pict w14:anchorId="4C600DB9">
          <v:shape id="_x0000_s1027" type="#_x0000_t202" style="position:absolute;margin-left:0;margin-top:3.6pt;width:207pt;height:207pt;z-index:251657216" fillcolor="silver" stroked="f">
            <v:textbox>
              <w:txbxContent>
                <w:p w14:paraId="3D5F8118" w14:textId="77777777" w:rsidR="00620B15" w:rsidRDefault="00620B15">
                  <w:pPr>
                    <w:rPr>
                      <w:b/>
                      <w:color w:val="FFFFFF"/>
                    </w:rPr>
                  </w:pPr>
                  <w:r w:rsidRPr="00D274A1">
                    <w:rPr>
                      <w:b/>
                      <w:color w:val="FFFFFF"/>
                    </w:rPr>
                    <w:t>4P</w:t>
                  </w:r>
                </w:p>
                <w:p w14:paraId="13E8485E" w14:textId="77777777" w:rsidR="00620B15" w:rsidRDefault="00620B15" w:rsidP="00D274A1">
                  <w:r>
                    <w:t>- Push-strategie</w:t>
                  </w:r>
                </w:p>
                <w:p w14:paraId="512CFF09" w14:textId="77777777" w:rsidR="00620B15" w:rsidRDefault="00620B15">
                  <w:r>
                    <w:t>- Verhoging productiecapaciteit</w:t>
                  </w:r>
                </w:p>
                <w:p w14:paraId="4640E1A6" w14:textId="77777777" w:rsidR="00620B15" w:rsidRDefault="00620B15">
                  <w:r>
                    <w:t>- Globalisering</w:t>
                  </w:r>
                </w:p>
                <w:p w14:paraId="421D6DED" w14:textId="77777777" w:rsidR="00620B15" w:rsidRDefault="00620B15">
                  <w:r>
                    <w:t>- Schaalvoordelen</w:t>
                  </w:r>
                </w:p>
                <w:p w14:paraId="7E0F0804" w14:textId="77777777" w:rsidR="00620B15" w:rsidRDefault="00620B15">
                  <w:r>
                    <w:t>- Prijsgericht</w:t>
                  </w:r>
                </w:p>
                <w:p w14:paraId="21B38960" w14:textId="77777777" w:rsidR="00620B15" w:rsidRDefault="00620B15">
                  <w:r>
                    <w:t>- Massaproductie</w:t>
                  </w:r>
                </w:p>
                <w:p w14:paraId="7FA9EE87" w14:textId="77777777" w:rsidR="00620B15" w:rsidRDefault="00620B15">
                  <w:r>
                    <w:t>- Gericht op gebruikersgemak</w:t>
                  </w:r>
                </w:p>
                <w:p w14:paraId="3530BC43" w14:textId="77777777" w:rsidR="00620B15" w:rsidRDefault="00620B15">
                  <w:r>
                    <w:t>- Technologische ontwikkeling</w:t>
                  </w:r>
                </w:p>
                <w:p w14:paraId="29B31CB3" w14:textId="77777777" w:rsidR="00620B15" w:rsidRDefault="00620B15">
                  <w:r>
                    <w:t>- Winstmaximalisatie</w:t>
                  </w:r>
                </w:p>
                <w:p w14:paraId="5760C802" w14:textId="77777777" w:rsidR="00620B15" w:rsidRDefault="00620B15">
                  <w:r>
                    <w:t>- Kosten efficiëntie</w:t>
                  </w:r>
                </w:p>
                <w:p w14:paraId="36E5CB6B" w14:textId="77777777" w:rsidR="00620B15" w:rsidRDefault="00620B15">
                  <w:r>
                    <w:t>- Voedselzekerheid</w:t>
                  </w:r>
                </w:p>
                <w:p w14:paraId="28B9A7C8" w14:textId="77777777" w:rsidR="00620B15" w:rsidRDefault="00620B15">
                  <w:r>
                    <w:t>- Integratie</w:t>
                  </w:r>
                </w:p>
                <w:p w14:paraId="75666A50" w14:textId="77777777" w:rsidR="00620B15" w:rsidRDefault="00620B15">
                  <w:r>
                    <w:t>- Aanbodgericht</w:t>
                  </w:r>
                </w:p>
                <w:p w14:paraId="750963EA" w14:textId="77777777" w:rsidR="00620B15" w:rsidRDefault="00620B15"/>
                <w:p w14:paraId="044AF4BC" w14:textId="77777777" w:rsidR="00620B15" w:rsidRPr="00D274A1" w:rsidRDefault="00620B15"/>
              </w:txbxContent>
            </v:textbox>
          </v:shape>
        </w:pict>
      </w:r>
    </w:p>
    <w:p w14:paraId="2D9C3269" w14:textId="77777777" w:rsidR="00620B15" w:rsidRDefault="00620B15" w:rsidP="004E4A04">
      <w:pPr>
        <w:tabs>
          <w:tab w:val="left" w:pos="0"/>
        </w:tabs>
        <w:rPr>
          <w:b/>
          <w:kern w:val="36"/>
          <w:u w:val="single"/>
        </w:rPr>
      </w:pPr>
    </w:p>
    <w:p w14:paraId="5C46AB01" w14:textId="77777777" w:rsidR="00620B15" w:rsidRDefault="00620B15" w:rsidP="004E4A04">
      <w:pPr>
        <w:tabs>
          <w:tab w:val="left" w:pos="0"/>
        </w:tabs>
        <w:rPr>
          <w:b/>
          <w:kern w:val="36"/>
          <w:u w:val="single"/>
        </w:rPr>
      </w:pPr>
    </w:p>
    <w:p w14:paraId="1E1B1C6F" w14:textId="77777777" w:rsidR="00620B15" w:rsidRDefault="00620B15" w:rsidP="004E4A04">
      <w:pPr>
        <w:tabs>
          <w:tab w:val="left" w:pos="0"/>
        </w:tabs>
        <w:rPr>
          <w:b/>
          <w:kern w:val="36"/>
          <w:u w:val="single"/>
        </w:rPr>
      </w:pPr>
    </w:p>
    <w:p w14:paraId="111E845A" w14:textId="77777777" w:rsidR="00620B15" w:rsidRDefault="00620B15" w:rsidP="004E4A04">
      <w:pPr>
        <w:tabs>
          <w:tab w:val="left" w:pos="0"/>
        </w:tabs>
        <w:rPr>
          <w:b/>
          <w:kern w:val="36"/>
          <w:u w:val="single"/>
        </w:rPr>
      </w:pPr>
    </w:p>
    <w:p w14:paraId="5AC822BF" w14:textId="77777777" w:rsidR="00620B15" w:rsidRDefault="00620B15" w:rsidP="004E4A04">
      <w:pPr>
        <w:tabs>
          <w:tab w:val="left" w:pos="0"/>
        </w:tabs>
        <w:rPr>
          <w:b/>
          <w:kern w:val="36"/>
          <w:u w:val="single"/>
        </w:rPr>
      </w:pPr>
    </w:p>
    <w:p w14:paraId="4AE9E01D" w14:textId="77777777" w:rsidR="00620B15" w:rsidRDefault="00620B15" w:rsidP="004E4A04">
      <w:pPr>
        <w:tabs>
          <w:tab w:val="left" w:pos="0"/>
        </w:tabs>
        <w:rPr>
          <w:b/>
          <w:kern w:val="36"/>
          <w:u w:val="single"/>
        </w:rPr>
      </w:pPr>
    </w:p>
    <w:p w14:paraId="09479380" w14:textId="77777777" w:rsidR="00620B15" w:rsidRDefault="00620B15" w:rsidP="004E4A04">
      <w:pPr>
        <w:tabs>
          <w:tab w:val="left" w:pos="0"/>
        </w:tabs>
        <w:rPr>
          <w:b/>
          <w:kern w:val="36"/>
          <w:u w:val="single"/>
        </w:rPr>
      </w:pPr>
    </w:p>
    <w:p w14:paraId="19F25C9C" w14:textId="77777777" w:rsidR="00620B15" w:rsidRDefault="00620B15" w:rsidP="004E4A04">
      <w:pPr>
        <w:tabs>
          <w:tab w:val="left" w:pos="0"/>
        </w:tabs>
        <w:rPr>
          <w:b/>
          <w:kern w:val="36"/>
          <w:u w:val="single"/>
        </w:rPr>
      </w:pPr>
    </w:p>
    <w:p w14:paraId="01D78E9D" w14:textId="77777777" w:rsidR="00620B15" w:rsidRDefault="00620B15" w:rsidP="004E4A04">
      <w:pPr>
        <w:tabs>
          <w:tab w:val="left" w:pos="0"/>
        </w:tabs>
        <w:rPr>
          <w:b/>
          <w:kern w:val="36"/>
          <w:u w:val="single"/>
        </w:rPr>
      </w:pPr>
    </w:p>
    <w:p w14:paraId="4586CA84" w14:textId="77777777" w:rsidR="00620B15" w:rsidRDefault="00620B15" w:rsidP="004E4A04">
      <w:pPr>
        <w:tabs>
          <w:tab w:val="left" w:pos="0"/>
        </w:tabs>
        <w:rPr>
          <w:b/>
          <w:kern w:val="36"/>
          <w:u w:val="single"/>
        </w:rPr>
      </w:pPr>
    </w:p>
    <w:p w14:paraId="5F140D9C" w14:textId="77777777" w:rsidR="00620B15" w:rsidRDefault="00620B15" w:rsidP="004E4A04">
      <w:pPr>
        <w:tabs>
          <w:tab w:val="left" w:pos="0"/>
        </w:tabs>
        <w:rPr>
          <w:b/>
          <w:kern w:val="36"/>
          <w:u w:val="single"/>
        </w:rPr>
      </w:pPr>
    </w:p>
    <w:p w14:paraId="1F5AFA7B" w14:textId="77777777" w:rsidR="00620B15" w:rsidRDefault="00620B15" w:rsidP="004E4A04">
      <w:pPr>
        <w:tabs>
          <w:tab w:val="left" w:pos="0"/>
        </w:tabs>
        <w:rPr>
          <w:b/>
          <w:kern w:val="36"/>
          <w:u w:val="single"/>
        </w:rPr>
      </w:pPr>
    </w:p>
    <w:p w14:paraId="00480E3D" w14:textId="77777777" w:rsidR="00620B15" w:rsidRDefault="00620B15" w:rsidP="004E4A04">
      <w:pPr>
        <w:tabs>
          <w:tab w:val="left" w:pos="0"/>
        </w:tabs>
        <w:rPr>
          <w:b/>
          <w:kern w:val="36"/>
          <w:u w:val="single"/>
        </w:rPr>
      </w:pPr>
    </w:p>
    <w:p w14:paraId="6756ED8F" w14:textId="77777777" w:rsidR="00620B15" w:rsidRDefault="00620B15" w:rsidP="004E4A04">
      <w:pPr>
        <w:tabs>
          <w:tab w:val="left" w:pos="0"/>
        </w:tabs>
        <w:rPr>
          <w:b/>
          <w:kern w:val="36"/>
          <w:u w:val="single"/>
        </w:rPr>
      </w:pPr>
    </w:p>
    <w:p w14:paraId="0CE47805" w14:textId="77777777" w:rsidR="00620B15" w:rsidRDefault="00620B15" w:rsidP="004E4A04">
      <w:pPr>
        <w:tabs>
          <w:tab w:val="left" w:pos="0"/>
        </w:tabs>
        <w:rPr>
          <w:b/>
          <w:kern w:val="36"/>
          <w:u w:val="single"/>
        </w:rPr>
      </w:pPr>
    </w:p>
    <w:p w14:paraId="33DD1D5A" w14:textId="77777777" w:rsidR="00620B15" w:rsidRPr="00F158A1" w:rsidRDefault="00620B15" w:rsidP="00F158A1">
      <w:pPr>
        <w:tabs>
          <w:tab w:val="left" w:pos="0"/>
        </w:tabs>
        <w:jc w:val="right"/>
        <w:rPr>
          <w:i/>
          <w:kern w:val="36"/>
        </w:rPr>
      </w:pPr>
      <w:r>
        <w:rPr>
          <w:i/>
          <w:kern w:val="36"/>
        </w:rPr>
        <w:t>Bron: ING (2012)</w:t>
      </w:r>
    </w:p>
    <w:p w14:paraId="44BBCEC0" w14:textId="77777777" w:rsidR="00620B15" w:rsidRDefault="00620B15" w:rsidP="00F158A1">
      <w:pPr>
        <w:tabs>
          <w:tab w:val="left" w:pos="0"/>
        </w:tabs>
        <w:rPr>
          <w:b/>
          <w:kern w:val="36"/>
          <w:u w:val="single"/>
        </w:rPr>
      </w:pPr>
    </w:p>
    <w:p w14:paraId="73F77968" w14:textId="77777777" w:rsidR="00620B15" w:rsidRDefault="00620B15" w:rsidP="00F158A1">
      <w:pPr>
        <w:tabs>
          <w:tab w:val="left" w:pos="0"/>
        </w:tabs>
        <w:rPr>
          <w:b/>
          <w:kern w:val="36"/>
          <w:u w:val="single"/>
        </w:rPr>
      </w:pPr>
    </w:p>
    <w:p w14:paraId="77F98CEE" w14:textId="77777777" w:rsidR="00620B15" w:rsidRDefault="00620B15" w:rsidP="00F158A1">
      <w:pPr>
        <w:tabs>
          <w:tab w:val="left" w:pos="0"/>
        </w:tabs>
        <w:rPr>
          <w:b/>
          <w:u w:val="single"/>
        </w:rPr>
      </w:pPr>
      <w:r w:rsidRPr="0046660A">
        <w:rPr>
          <w:b/>
          <w:kern w:val="36"/>
          <w:u w:val="single"/>
        </w:rPr>
        <w:t>I</w:t>
      </w:r>
      <w:r w:rsidRPr="0046660A">
        <w:rPr>
          <w:b/>
          <w:u w:val="single"/>
        </w:rPr>
        <w:t>nf</w:t>
      </w:r>
      <w:r>
        <w:rPr>
          <w:b/>
          <w:u w:val="single"/>
        </w:rPr>
        <w:t>ormatiebron 3</w:t>
      </w:r>
    </w:p>
    <w:p w14:paraId="3BA073EF" w14:textId="77777777" w:rsidR="00620B15" w:rsidRDefault="00620B15" w:rsidP="00F158A1">
      <w:pPr>
        <w:tabs>
          <w:tab w:val="left" w:pos="0"/>
        </w:tabs>
        <w:rPr>
          <w:b/>
          <w:u w:val="single"/>
        </w:rPr>
      </w:pPr>
    </w:p>
    <w:p w14:paraId="158C59D7" w14:textId="77777777" w:rsidR="00620B15" w:rsidRPr="00480BB8" w:rsidRDefault="00620B15" w:rsidP="00480BB8">
      <w:pPr>
        <w:autoSpaceDE w:val="0"/>
        <w:autoSpaceDN w:val="0"/>
        <w:adjustRightInd w:val="0"/>
      </w:pPr>
      <w:r w:rsidRPr="00480BB8">
        <w:t xml:space="preserve">De Nederlandse </w:t>
      </w:r>
      <w:r>
        <w:t>levensmiddelens</w:t>
      </w:r>
      <w:r w:rsidRPr="00480BB8">
        <w:t>ector zorgt niet alleen voor de dagelijkse</w:t>
      </w:r>
      <w:r>
        <w:t xml:space="preserve"> </w:t>
      </w:r>
      <w:r w:rsidRPr="00480BB8">
        <w:t>voedingsbehoefte van 17 miljoen inwoners in Nederland, maar is ook</w:t>
      </w:r>
      <w:r>
        <w:t xml:space="preserve"> </w:t>
      </w:r>
      <w:r w:rsidRPr="00480BB8">
        <w:t>een belangrijke exporteur van voedsel. Het economische belang</w:t>
      </w:r>
      <w:r>
        <w:t xml:space="preserve"> </w:t>
      </w:r>
      <w:r w:rsidRPr="00480BB8">
        <w:t>van deze sector is groot. In het onlangs verschenen rapport van</w:t>
      </w:r>
    </w:p>
    <w:p w14:paraId="445F418E" w14:textId="77777777" w:rsidR="00620B15" w:rsidRDefault="00620B15" w:rsidP="00480BB8">
      <w:pPr>
        <w:autoSpaceDE w:val="0"/>
        <w:autoSpaceDN w:val="0"/>
        <w:adjustRightInd w:val="0"/>
        <w:rPr>
          <w:rFonts w:ascii="RockwellStd-Light" w:hAnsi="RockwellStd-Light" w:cs="RockwellStd-Light"/>
          <w:sz w:val="20"/>
          <w:szCs w:val="20"/>
        </w:rPr>
      </w:pPr>
      <w:r w:rsidRPr="00480BB8">
        <w:t xml:space="preserve">Topsector Agro &amp; Food </w:t>
      </w:r>
      <w:r>
        <w:t xml:space="preserve">(2011) </w:t>
      </w:r>
      <w:r w:rsidRPr="00480BB8">
        <w:t xml:space="preserve">is te lezen dat de </w:t>
      </w:r>
      <w:r>
        <w:t xml:space="preserve">levensmiddelenketen </w:t>
      </w:r>
      <w:r w:rsidRPr="00480BB8">
        <w:t>goed is voor</w:t>
      </w:r>
      <w:r>
        <w:t xml:space="preserve"> </w:t>
      </w:r>
      <w:r w:rsidRPr="00480BB8">
        <w:t>een toegevoegde waarde van maar liefst €</w:t>
      </w:r>
      <w:r>
        <w:t xml:space="preserve"> </w:t>
      </w:r>
      <w:r w:rsidRPr="00480BB8">
        <w:t xml:space="preserve">48 miljard. </w:t>
      </w:r>
      <w:r>
        <w:t xml:space="preserve">De toegevoegde waarde van distributie wordt voor 46% behaald uit horeca, de rest door de retailsector waar ook de supermarktenbranche bij hoort.  </w:t>
      </w:r>
    </w:p>
    <w:p w14:paraId="1562C41F" w14:textId="77777777" w:rsidR="00620B15" w:rsidRDefault="00620B15" w:rsidP="0092309C"/>
    <w:p w14:paraId="090AA372" w14:textId="77777777" w:rsidR="00620B15" w:rsidRPr="00480BB8" w:rsidRDefault="00620B15" w:rsidP="00480BB8">
      <w:pPr>
        <w:autoSpaceDE w:val="0"/>
        <w:autoSpaceDN w:val="0"/>
        <w:adjustRightInd w:val="0"/>
      </w:pPr>
      <w:r w:rsidRPr="00480BB8">
        <w:rPr>
          <w:b/>
        </w:rPr>
        <w:t xml:space="preserve">Figuur 1: </w:t>
      </w:r>
      <w:r w:rsidRPr="00480BB8">
        <w:rPr>
          <w:b/>
          <w:bCs/>
        </w:rPr>
        <w:t>Verdeling toegevoegde waarde</w:t>
      </w:r>
      <w:r w:rsidRPr="005C05F0">
        <w:rPr>
          <w:b/>
          <w:bCs/>
        </w:rPr>
        <w:t xml:space="preserve"> </w:t>
      </w:r>
      <w:r w:rsidRPr="005C05F0">
        <w:rPr>
          <w:b/>
        </w:rPr>
        <w:t>levensmiddelen</w:t>
      </w:r>
      <w:r w:rsidRPr="005C05F0">
        <w:rPr>
          <w:b/>
          <w:bCs/>
        </w:rPr>
        <w:t xml:space="preserve">keten </w:t>
      </w:r>
      <w:r w:rsidRPr="00480BB8">
        <w:rPr>
          <w:b/>
          <w:bCs/>
        </w:rPr>
        <w:t>(x 1 miljard</w:t>
      </w:r>
      <w:r>
        <w:rPr>
          <w:b/>
          <w:bCs/>
        </w:rPr>
        <w:t xml:space="preserve"> €</w:t>
      </w:r>
      <w:r w:rsidRPr="00480BB8">
        <w:rPr>
          <w:b/>
          <w:bCs/>
        </w:rPr>
        <w:t>)</w:t>
      </w:r>
    </w:p>
    <w:p w14:paraId="782CF925" w14:textId="77777777" w:rsidR="00620B15" w:rsidRPr="00C70200" w:rsidRDefault="00C70200" w:rsidP="00C70200">
      <w:pPr>
        <w:autoSpaceDE w:val="0"/>
        <w:autoSpaceDN w:val="0"/>
        <w:adjustRightInd w:val="0"/>
        <w:jc w:val="center"/>
      </w:pPr>
      <w:r>
        <w:pict w14:anchorId="1BFB4A8D">
          <v:shape id="_x0000_i1034" type="#_x0000_t75" style="width:426pt;height:194pt">
            <v:imagedata r:id="rId14" o:title=""/>
          </v:shape>
        </w:pict>
      </w:r>
      <w:bookmarkStart w:id="0" w:name="_GoBack"/>
      <w:bookmarkEnd w:id="0"/>
    </w:p>
    <w:sectPr w:rsidR="00620B15" w:rsidRPr="00C70200" w:rsidSect="002256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Verdana">
    <w:panose1 w:val="020B060403050404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MyriadPro-Semibold">
    <w:altName w:val="Myriad Pro Semibold"/>
    <w:panose1 w:val="00000000000000000000"/>
    <w:charset w:val="00"/>
    <w:family w:val="auto"/>
    <w:notTrueType/>
    <w:pitch w:val="default"/>
    <w:sig w:usb0="00000003" w:usb1="00000000" w:usb2="00000000" w:usb3="00000000" w:csb0="00000001" w:csb1="00000000"/>
  </w:font>
  <w:font w:name="MyriadPro-Light">
    <w:altName w:val="Myriad Pro Semibold It"/>
    <w:panose1 w:val="00000000000000000000"/>
    <w:charset w:val="00"/>
    <w:family w:val="swiss"/>
    <w:notTrueType/>
    <w:pitch w:val="default"/>
    <w:sig w:usb0="00000003" w:usb1="00000000" w:usb2="00000000" w:usb3="00000000" w:csb0="00000001" w:csb1="00000000"/>
  </w:font>
  <w:font w:name="RockwellStd-Light">
    <w:altName w:val="Rockwell Std Light"/>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4pt;height:81pt" o:bullet="t">
        <v:imagedata r:id="rId1" o:title=""/>
        <o:lock v:ext="edit" cropping="t"/>
      </v:shape>
    </w:pict>
  </w:numPicBullet>
  <w:abstractNum w:abstractNumId="0">
    <w:nsid w:val="F5CACF76"/>
    <w:multiLevelType w:val="hybridMultilevel"/>
    <w:tmpl w:val="0B5C238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2F81ACC"/>
    <w:multiLevelType w:val="hybridMultilevel"/>
    <w:tmpl w:val="695C4AFA"/>
    <w:lvl w:ilvl="0" w:tplc="35D454DE">
      <w:start w:val="8"/>
      <w:numFmt w:val="upperLetter"/>
      <w:lvlText w:val="%1)"/>
      <w:lvlJc w:val="left"/>
      <w:pPr>
        <w:tabs>
          <w:tab w:val="num" w:pos="720"/>
        </w:tabs>
        <w:ind w:left="720" w:hanging="360"/>
      </w:pPr>
      <w:rPr>
        <w:rFonts w:cs="Times New Roman" w:hint="default"/>
        <w:b w:val="0"/>
        <w:u w:val="none"/>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
    <w:nsid w:val="035A3017"/>
    <w:multiLevelType w:val="multilevel"/>
    <w:tmpl w:val="3A74D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D3518D"/>
    <w:multiLevelType w:val="hybridMultilevel"/>
    <w:tmpl w:val="2C0C0EC2"/>
    <w:lvl w:ilvl="0" w:tplc="38C0663A">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20BA36D3"/>
    <w:multiLevelType w:val="hybridMultilevel"/>
    <w:tmpl w:val="B3762B1C"/>
    <w:lvl w:ilvl="0" w:tplc="41C8EC66">
      <w:start w:val="5"/>
      <w:numFmt w:val="decimal"/>
      <w:lvlText w:val="%1."/>
      <w:lvlJc w:val="left"/>
      <w:pPr>
        <w:tabs>
          <w:tab w:val="num" w:pos="1083"/>
        </w:tabs>
        <w:ind w:left="1083" w:hanging="375"/>
      </w:pPr>
      <w:rPr>
        <w:rFonts w:cs="Times New Roman" w:hint="default"/>
      </w:rPr>
    </w:lvl>
    <w:lvl w:ilvl="1" w:tplc="04130019" w:tentative="1">
      <w:start w:val="1"/>
      <w:numFmt w:val="lowerLetter"/>
      <w:lvlText w:val="%2."/>
      <w:lvlJc w:val="left"/>
      <w:pPr>
        <w:tabs>
          <w:tab w:val="num" w:pos="1788"/>
        </w:tabs>
        <w:ind w:left="1788" w:hanging="360"/>
      </w:pPr>
      <w:rPr>
        <w:rFonts w:cs="Times New Roman"/>
      </w:rPr>
    </w:lvl>
    <w:lvl w:ilvl="2" w:tplc="0413001B" w:tentative="1">
      <w:start w:val="1"/>
      <w:numFmt w:val="lowerRoman"/>
      <w:lvlText w:val="%3."/>
      <w:lvlJc w:val="right"/>
      <w:pPr>
        <w:tabs>
          <w:tab w:val="num" w:pos="2508"/>
        </w:tabs>
        <w:ind w:left="2508" w:hanging="180"/>
      </w:pPr>
      <w:rPr>
        <w:rFonts w:cs="Times New Roman"/>
      </w:rPr>
    </w:lvl>
    <w:lvl w:ilvl="3" w:tplc="0413000F" w:tentative="1">
      <w:start w:val="1"/>
      <w:numFmt w:val="decimal"/>
      <w:lvlText w:val="%4."/>
      <w:lvlJc w:val="left"/>
      <w:pPr>
        <w:tabs>
          <w:tab w:val="num" w:pos="3228"/>
        </w:tabs>
        <w:ind w:left="3228" w:hanging="360"/>
      </w:pPr>
      <w:rPr>
        <w:rFonts w:cs="Times New Roman"/>
      </w:rPr>
    </w:lvl>
    <w:lvl w:ilvl="4" w:tplc="04130019" w:tentative="1">
      <w:start w:val="1"/>
      <w:numFmt w:val="lowerLetter"/>
      <w:lvlText w:val="%5."/>
      <w:lvlJc w:val="left"/>
      <w:pPr>
        <w:tabs>
          <w:tab w:val="num" w:pos="3948"/>
        </w:tabs>
        <w:ind w:left="3948" w:hanging="360"/>
      </w:pPr>
      <w:rPr>
        <w:rFonts w:cs="Times New Roman"/>
      </w:rPr>
    </w:lvl>
    <w:lvl w:ilvl="5" w:tplc="0413001B" w:tentative="1">
      <w:start w:val="1"/>
      <w:numFmt w:val="lowerRoman"/>
      <w:lvlText w:val="%6."/>
      <w:lvlJc w:val="right"/>
      <w:pPr>
        <w:tabs>
          <w:tab w:val="num" w:pos="4668"/>
        </w:tabs>
        <w:ind w:left="4668" w:hanging="180"/>
      </w:pPr>
      <w:rPr>
        <w:rFonts w:cs="Times New Roman"/>
      </w:rPr>
    </w:lvl>
    <w:lvl w:ilvl="6" w:tplc="0413000F" w:tentative="1">
      <w:start w:val="1"/>
      <w:numFmt w:val="decimal"/>
      <w:lvlText w:val="%7."/>
      <w:lvlJc w:val="left"/>
      <w:pPr>
        <w:tabs>
          <w:tab w:val="num" w:pos="5388"/>
        </w:tabs>
        <w:ind w:left="5388" w:hanging="360"/>
      </w:pPr>
      <w:rPr>
        <w:rFonts w:cs="Times New Roman"/>
      </w:rPr>
    </w:lvl>
    <w:lvl w:ilvl="7" w:tplc="04130019" w:tentative="1">
      <w:start w:val="1"/>
      <w:numFmt w:val="lowerLetter"/>
      <w:lvlText w:val="%8."/>
      <w:lvlJc w:val="left"/>
      <w:pPr>
        <w:tabs>
          <w:tab w:val="num" w:pos="6108"/>
        </w:tabs>
        <w:ind w:left="6108" w:hanging="360"/>
      </w:pPr>
      <w:rPr>
        <w:rFonts w:cs="Times New Roman"/>
      </w:rPr>
    </w:lvl>
    <w:lvl w:ilvl="8" w:tplc="0413001B" w:tentative="1">
      <w:start w:val="1"/>
      <w:numFmt w:val="lowerRoman"/>
      <w:lvlText w:val="%9."/>
      <w:lvlJc w:val="right"/>
      <w:pPr>
        <w:tabs>
          <w:tab w:val="num" w:pos="6828"/>
        </w:tabs>
        <w:ind w:left="6828" w:hanging="180"/>
      </w:pPr>
      <w:rPr>
        <w:rFonts w:cs="Times New Roman"/>
      </w:rPr>
    </w:lvl>
  </w:abstractNum>
  <w:abstractNum w:abstractNumId="5">
    <w:nsid w:val="47EF592E"/>
    <w:multiLevelType w:val="multilevel"/>
    <w:tmpl w:val="9FC26EF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9FA4ACD"/>
    <w:multiLevelType w:val="hybridMultilevel"/>
    <w:tmpl w:val="9FC26EF2"/>
    <w:lvl w:ilvl="0" w:tplc="04130003">
      <w:start w:val="1"/>
      <w:numFmt w:val="bullet"/>
      <w:lvlText w:val="o"/>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53EC5927"/>
    <w:multiLevelType w:val="hybridMultilevel"/>
    <w:tmpl w:val="79D2D8FE"/>
    <w:lvl w:ilvl="0" w:tplc="13A28B8A">
      <w:start w:val="1"/>
      <w:numFmt w:val="bullet"/>
      <w:lvlText w:val=""/>
      <w:lvlJc w:val="left"/>
      <w:pPr>
        <w:tabs>
          <w:tab w:val="num" w:pos="1440"/>
        </w:tabs>
        <w:ind w:left="1440" w:hanging="360"/>
      </w:pPr>
      <w:rPr>
        <w:rFonts w:ascii="Symbol" w:hAnsi="Symbol" w:hint="default"/>
        <w:color w:val="FFFFFF"/>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66AC2AF0"/>
    <w:multiLevelType w:val="hybridMultilevel"/>
    <w:tmpl w:val="094E44D2"/>
    <w:lvl w:ilvl="0" w:tplc="A3C8A97E">
      <w:start w:val="1"/>
      <w:numFmt w:val="bullet"/>
      <w:lvlText w:val=""/>
      <w:lvlPicBulletId w:val="0"/>
      <w:lvlJc w:val="left"/>
      <w:pPr>
        <w:tabs>
          <w:tab w:val="num" w:pos="720"/>
        </w:tabs>
        <w:ind w:left="720" w:hanging="360"/>
      </w:pPr>
      <w:rPr>
        <w:rFonts w:ascii="Symbol" w:hAnsi="Symbol" w:hint="default"/>
        <w:color w:val="auto"/>
        <w:sz w:val="24"/>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6DF650BF"/>
    <w:multiLevelType w:val="hybridMultilevel"/>
    <w:tmpl w:val="918AE4DA"/>
    <w:lvl w:ilvl="0" w:tplc="35D454DE">
      <w:start w:val="8"/>
      <w:numFmt w:val="upperLetter"/>
      <w:lvlText w:val="%1)"/>
      <w:lvlJc w:val="left"/>
      <w:pPr>
        <w:tabs>
          <w:tab w:val="num" w:pos="720"/>
        </w:tabs>
        <w:ind w:left="720" w:hanging="360"/>
      </w:pPr>
      <w:rPr>
        <w:rFonts w:cs="Times New Roman" w:hint="default"/>
        <w:b w:val="0"/>
        <w:u w:val="none"/>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4"/>
  </w:num>
  <w:num w:numId="3">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9"/>
  </w:num>
  <w:num w:numId="5">
    <w:abstractNumId w:val="1"/>
  </w:num>
  <w:num w:numId="6">
    <w:abstractNumId w:val="6"/>
  </w:num>
  <w:num w:numId="7">
    <w:abstractNumId w:val="5"/>
  </w:num>
  <w:num w:numId="8">
    <w:abstractNumId w:val="8"/>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7D10"/>
    <w:rsid w:val="00007C78"/>
    <w:rsid w:val="00013CC6"/>
    <w:rsid w:val="00026CFB"/>
    <w:rsid w:val="00031297"/>
    <w:rsid w:val="00062540"/>
    <w:rsid w:val="0006674E"/>
    <w:rsid w:val="00066A51"/>
    <w:rsid w:val="00066D80"/>
    <w:rsid w:val="00071A4C"/>
    <w:rsid w:val="000722F9"/>
    <w:rsid w:val="00085A19"/>
    <w:rsid w:val="000A5642"/>
    <w:rsid w:val="000A7CDE"/>
    <w:rsid w:val="000B1425"/>
    <w:rsid w:val="000B2CEE"/>
    <w:rsid w:val="000D4685"/>
    <w:rsid w:val="000E5627"/>
    <w:rsid w:val="000E5B4D"/>
    <w:rsid w:val="00101C60"/>
    <w:rsid w:val="00101DD0"/>
    <w:rsid w:val="00111F41"/>
    <w:rsid w:val="001211B5"/>
    <w:rsid w:val="0013522B"/>
    <w:rsid w:val="001356E8"/>
    <w:rsid w:val="00160FAF"/>
    <w:rsid w:val="00165AD9"/>
    <w:rsid w:val="00184E25"/>
    <w:rsid w:val="00195258"/>
    <w:rsid w:val="00197512"/>
    <w:rsid w:val="001A1C9B"/>
    <w:rsid w:val="001A3864"/>
    <w:rsid w:val="001C3243"/>
    <w:rsid w:val="001C3DF9"/>
    <w:rsid w:val="001D361B"/>
    <w:rsid w:val="001D7208"/>
    <w:rsid w:val="001F5F6D"/>
    <w:rsid w:val="0021480E"/>
    <w:rsid w:val="00215D9A"/>
    <w:rsid w:val="0022323C"/>
    <w:rsid w:val="002256A2"/>
    <w:rsid w:val="002471D9"/>
    <w:rsid w:val="00247FC2"/>
    <w:rsid w:val="002533A9"/>
    <w:rsid w:val="00260B0C"/>
    <w:rsid w:val="00260B8F"/>
    <w:rsid w:val="00281D9C"/>
    <w:rsid w:val="002849A7"/>
    <w:rsid w:val="002A0817"/>
    <w:rsid w:val="002A4D2E"/>
    <w:rsid w:val="002D4201"/>
    <w:rsid w:val="00304351"/>
    <w:rsid w:val="00305FCD"/>
    <w:rsid w:val="003141EC"/>
    <w:rsid w:val="00315FCF"/>
    <w:rsid w:val="00322CC4"/>
    <w:rsid w:val="0032392E"/>
    <w:rsid w:val="0034224E"/>
    <w:rsid w:val="00342720"/>
    <w:rsid w:val="00342B09"/>
    <w:rsid w:val="00354E7F"/>
    <w:rsid w:val="00364430"/>
    <w:rsid w:val="00375A85"/>
    <w:rsid w:val="00377344"/>
    <w:rsid w:val="0037799B"/>
    <w:rsid w:val="003901BC"/>
    <w:rsid w:val="003C3D1C"/>
    <w:rsid w:val="003E0A82"/>
    <w:rsid w:val="003E19D1"/>
    <w:rsid w:val="0040457B"/>
    <w:rsid w:val="00424727"/>
    <w:rsid w:val="00424FB3"/>
    <w:rsid w:val="00433684"/>
    <w:rsid w:val="0044528A"/>
    <w:rsid w:val="00452428"/>
    <w:rsid w:val="00452833"/>
    <w:rsid w:val="00455BF1"/>
    <w:rsid w:val="0046660A"/>
    <w:rsid w:val="00480BB8"/>
    <w:rsid w:val="00484296"/>
    <w:rsid w:val="00484FD6"/>
    <w:rsid w:val="004A4CCD"/>
    <w:rsid w:val="004A5F99"/>
    <w:rsid w:val="004A5FC3"/>
    <w:rsid w:val="004B2067"/>
    <w:rsid w:val="004D271C"/>
    <w:rsid w:val="004E4A04"/>
    <w:rsid w:val="004E5A78"/>
    <w:rsid w:val="004E72CD"/>
    <w:rsid w:val="004F55D0"/>
    <w:rsid w:val="004F6827"/>
    <w:rsid w:val="005174C8"/>
    <w:rsid w:val="005A0075"/>
    <w:rsid w:val="005B10FA"/>
    <w:rsid w:val="005C05F0"/>
    <w:rsid w:val="005C1619"/>
    <w:rsid w:val="005E3FF5"/>
    <w:rsid w:val="00620B15"/>
    <w:rsid w:val="006350EE"/>
    <w:rsid w:val="006357A7"/>
    <w:rsid w:val="00647BE0"/>
    <w:rsid w:val="00651097"/>
    <w:rsid w:val="006564B8"/>
    <w:rsid w:val="0065786B"/>
    <w:rsid w:val="0066233A"/>
    <w:rsid w:val="00662B31"/>
    <w:rsid w:val="00670639"/>
    <w:rsid w:val="00672361"/>
    <w:rsid w:val="006853B0"/>
    <w:rsid w:val="0069014F"/>
    <w:rsid w:val="006A0E6B"/>
    <w:rsid w:val="006C3AC3"/>
    <w:rsid w:val="006D3B62"/>
    <w:rsid w:val="006E118C"/>
    <w:rsid w:val="006E46E9"/>
    <w:rsid w:val="007361B3"/>
    <w:rsid w:val="007716A0"/>
    <w:rsid w:val="00773A7D"/>
    <w:rsid w:val="00780A04"/>
    <w:rsid w:val="00793F6D"/>
    <w:rsid w:val="00795220"/>
    <w:rsid w:val="007B1B7F"/>
    <w:rsid w:val="007D06F3"/>
    <w:rsid w:val="007F30A0"/>
    <w:rsid w:val="007F5C39"/>
    <w:rsid w:val="00807BC8"/>
    <w:rsid w:val="00827D1F"/>
    <w:rsid w:val="00833ECE"/>
    <w:rsid w:val="0085222E"/>
    <w:rsid w:val="00882A3C"/>
    <w:rsid w:val="00896EB6"/>
    <w:rsid w:val="008A3BC3"/>
    <w:rsid w:val="008B24E2"/>
    <w:rsid w:val="008E57D5"/>
    <w:rsid w:val="008E7D10"/>
    <w:rsid w:val="0090527D"/>
    <w:rsid w:val="009057BC"/>
    <w:rsid w:val="0092309C"/>
    <w:rsid w:val="00923721"/>
    <w:rsid w:val="00945515"/>
    <w:rsid w:val="0095252F"/>
    <w:rsid w:val="009C4964"/>
    <w:rsid w:val="009F1A1C"/>
    <w:rsid w:val="009F6D98"/>
    <w:rsid w:val="00A027AC"/>
    <w:rsid w:val="00A129E7"/>
    <w:rsid w:val="00A13704"/>
    <w:rsid w:val="00A27444"/>
    <w:rsid w:val="00A33CAE"/>
    <w:rsid w:val="00A45EEB"/>
    <w:rsid w:val="00A620FF"/>
    <w:rsid w:val="00A761B0"/>
    <w:rsid w:val="00A76E66"/>
    <w:rsid w:val="00A87D57"/>
    <w:rsid w:val="00A93D87"/>
    <w:rsid w:val="00A962CF"/>
    <w:rsid w:val="00AC7253"/>
    <w:rsid w:val="00AF70BF"/>
    <w:rsid w:val="00B10977"/>
    <w:rsid w:val="00B1162E"/>
    <w:rsid w:val="00B32999"/>
    <w:rsid w:val="00B426EF"/>
    <w:rsid w:val="00B5091C"/>
    <w:rsid w:val="00B53452"/>
    <w:rsid w:val="00B55C7C"/>
    <w:rsid w:val="00B669BD"/>
    <w:rsid w:val="00B71166"/>
    <w:rsid w:val="00B766E6"/>
    <w:rsid w:val="00B774EE"/>
    <w:rsid w:val="00B86213"/>
    <w:rsid w:val="00B95230"/>
    <w:rsid w:val="00BA73CB"/>
    <w:rsid w:val="00BB3FC8"/>
    <w:rsid w:val="00C0718D"/>
    <w:rsid w:val="00C106FE"/>
    <w:rsid w:val="00C45707"/>
    <w:rsid w:val="00C53DD5"/>
    <w:rsid w:val="00C57974"/>
    <w:rsid w:val="00C60296"/>
    <w:rsid w:val="00C61D16"/>
    <w:rsid w:val="00C67FFA"/>
    <w:rsid w:val="00C70200"/>
    <w:rsid w:val="00CC0B7B"/>
    <w:rsid w:val="00CC0EB1"/>
    <w:rsid w:val="00CE6F6E"/>
    <w:rsid w:val="00D01AB0"/>
    <w:rsid w:val="00D20BFD"/>
    <w:rsid w:val="00D25BD3"/>
    <w:rsid w:val="00D274A1"/>
    <w:rsid w:val="00D372B4"/>
    <w:rsid w:val="00D43FD3"/>
    <w:rsid w:val="00D66E97"/>
    <w:rsid w:val="00D94DDE"/>
    <w:rsid w:val="00D959E0"/>
    <w:rsid w:val="00D977CA"/>
    <w:rsid w:val="00DC1B61"/>
    <w:rsid w:val="00DE2749"/>
    <w:rsid w:val="00DF28C0"/>
    <w:rsid w:val="00E008BD"/>
    <w:rsid w:val="00E114F7"/>
    <w:rsid w:val="00E174B1"/>
    <w:rsid w:val="00E454FB"/>
    <w:rsid w:val="00E56375"/>
    <w:rsid w:val="00E64D84"/>
    <w:rsid w:val="00E64E4C"/>
    <w:rsid w:val="00E92671"/>
    <w:rsid w:val="00EA04EA"/>
    <w:rsid w:val="00ED061A"/>
    <w:rsid w:val="00EE0B36"/>
    <w:rsid w:val="00EF5406"/>
    <w:rsid w:val="00F158A1"/>
    <w:rsid w:val="00F41377"/>
    <w:rsid w:val="00F41658"/>
    <w:rsid w:val="00F944F4"/>
    <w:rsid w:val="00F947E1"/>
    <w:rsid w:val="00FA0167"/>
    <w:rsid w:val="00FA391F"/>
    <w:rsid w:val="00FA3A3A"/>
    <w:rsid w:val="00FA6EE1"/>
    <w:rsid w:val="00FA7AA8"/>
    <w:rsid w:val="00FC594F"/>
    <w:rsid w:val="00FE191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14:docId w14:val="4B955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6A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C61D16"/>
    <w:pPr>
      <w:autoSpaceDE w:val="0"/>
      <w:autoSpaceDN w:val="0"/>
      <w:adjustRightInd w:val="0"/>
    </w:pPr>
    <w:rPr>
      <w:rFonts w:ascii="Georgia" w:hAnsi="Georgia" w:cs="Georgia"/>
      <w:color w:val="000000"/>
      <w:sz w:val="24"/>
      <w:szCs w:val="24"/>
    </w:rPr>
  </w:style>
  <w:style w:type="character" w:styleId="Hyperlink">
    <w:name w:val="Hyperlink"/>
    <w:basedOn w:val="DefaultParagraphFont"/>
    <w:uiPriority w:val="99"/>
    <w:rsid w:val="00BB3FC8"/>
    <w:rPr>
      <w:rFonts w:cs="Times New Roman"/>
      <w:color w:val="0000FF"/>
      <w:u w:val="single"/>
    </w:rPr>
  </w:style>
  <w:style w:type="paragraph" w:customStyle="1" w:styleId="bodytext">
    <w:name w:val="bodytext"/>
    <w:basedOn w:val="Normal"/>
    <w:uiPriority w:val="99"/>
    <w:rsid w:val="00A93D87"/>
    <w:pPr>
      <w:spacing w:before="100" w:beforeAutospacing="1" w:after="100" w:afterAutospacing="1"/>
    </w:pPr>
    <w:rPr>
      <w:rFonts w:ascii="Verdana" w:hAnsi="Verdana"/>
      <w:sz w:val="17"/>
      <w:szCs w:val="17"/>
    </w:rPr>
  </w:style>
  <w:style w:type="table" w:styleId="TableGrid">
    <w:name w:val="Table Grid"/>
    <w:basedOn w:val="TableNormal"/>
    <w:uiPriority w:val="99"/>
    <w:rsid w:val="00793F6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A87D57"/>
    <w:rPr>
      <w:rFonts w:ascii="Tahoma" w:hAnsi="Tahoma" w:cs="Tahoma"/>
      <w:sz w:val="16"/>
      <w:szCs w:val="16"/>
    </w:rPr>
  </w:style>
  <w:style w:type="character" w:customStyle="1" w:styleId="BalloonTextChar">
    <w:name w:val="Balloon Text Char"/>
    <w:basedOn w:val="DefaultParagraphFont"/>
    <w:link w:val="BalloonText"/>
    <w:uiPriority w:val="99"/>
    <w:locked/>
    <w:rsid w:val="00A87D57"/>
    <w:rPr>
      <w:rFonts w:ascii="Tahoma" w:hAnsi="Tahoma" w:cs="Tahoma"/>
      <w:sz w:val="16"/>
      <w:szCs w:val="16"/>
    </w:rPr>
  </w:style>
  <w:style w:type="table" w:styleId="LightList-Accent3">
    <w:name w:val="Light List Accent 3"/>
    <w:basedOn w:val="TableNormal"/>
    <w:uiPriority w:val="99"/>
    <w:rsid w:val="00CC0B7B"/>
    <w:rPr>
      <w:rFonts w:ascii="Calibri" w:hAnsi="Calibri"/>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TableWeb3">
    <w:name w:val="Table Web 3"/>
    <w:basedOn w:val="TableNormal"/>
    <w:uiPriority w:val="99"/>
    <w:rsid w:val="00F158A1"/>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905085">
      <w:marLeft w:val="0"/>
      <w:marRight w:val="0"/>
      <w:marTop w:val="0"/>
      <w:marBottom w:val="0"/>
      <w:divBdr>
        <w:top w:val="none" w:sz="0" w:space="0" w:color="auto"/>
        <w:left w:val="none" w:sz="0" w:space="0" w:color="auto"/>
        <w:bottom w:val="none" w:sz="0" w:space="0" w:color="auto"/>
        <w:right w:val="none" w:sz="0" w:space="0" w:color="auto"/>
      </w:divBdr>
    </w:div>
    <w:div w:id="1868905087">
      <w:marLeft w:val="0"/>
      <w:marRight w:val="0"/>
      <w:marTop w:val="0"/>
      <w:marBottom w:val="0"/>
      <w:divBdr>
        <w:top w:val="none" w:sz="0" w:space="0" w:color="auto"/>
        <w:left w:val="none" w:sz="0" w:space="0" w:color="auto"/>
        <w:bottom w:val="none" w:sz="0" w:space="0" w:color="auto"/>
        <w:right w:val="none" w:sz="0" w:space="0" w:color="auto"/>
      </w:divBdr>
      <w:divsChild>
        <w:div w:id="1868905090">
          <w:marLeft w:val="-7005"/>
          <w:marRight w:val="0"/>
          <w:marTop w:val="300"/>
          <w:marBottom w:val="0"/>
          <w:divBdr>
            <w:top w:val="none" w:sz="0" w:space="0" w:color="auto"/>
            <w:left w:val="none" w:sz="0" w:space="0" w:color="auto"/>
            <w:bottom w:val="none" w:sz="0" w:space="0" w:color="auto"/>
            <w:right w:val="none" w:sz="0" w:space="0" w:color="auto"/>
          </w:divBdr>
          <w:divsChild>
            <w:div w:id="1868905089">
              <w:marLeft w:val="0"/>
              <w:marRight w:val="0"/>
              <w:marTop w:val="0"/>
              <w:marBottom w:val="0"/>
              <w:divBdr>
                <w:top w:val="none" w:sz="0" w:space="0" w:color="auto"/>
                <w:left w:val="none" w:sz="0" w:space="0" w:color="auto"/>
                <w:bottom w:val="none" w:sz="0" w:space="0" w:color="auto"/>
                <w:right w:val="none" w:sz="0" w:space="0" w:color="auto"/>
              </w:divBdr>
              <w:divsChild>
                <w:div w:id="1868905094">
                  <w:marLeft w:val="0"/>
                  <w:marRight w:val="0"/>
                  <w:marTop w:val="0"/>
                  <w:marBottom w:val="0"/>
                  <w:divBdr>
                    <w:top w:val="none" w:sz="0" w:space="0" w:color="auto"/>
                    <w:left w:val="none" w:sz="0" w:space="0" w:color="auto"/>
                    <w:bottom w:val="none" w:sz="0" w:space="0" w:color="auto"/>
                    <w:right w:val="none" w:sz="0" w:space="0" w:color="auto"/>
                  </w:divBdr>
                  <w:divsChild>
                    <w:div w:id="1868905086">
                      <w:marLeft w:val="0"/>
                      <w:marRight w:val="0"/>
                      <w:marTop w:val="0"/>
                      <w:marBottom w:val="0"/>
                      <w:divBdr>
                        <w:top w:val="none" w:sz="0" w:space="0" w:color="auto"/>
                        <w:left w:val="none" w:sz="0" w:space="0" w:color="auto"/>
                        <w:bottom w:val="none" w:sz="0" w:space="0" w:color="auto"/>
                        <w:right w:val="none" w:sz="0" w:space="0" w:color="auto"/>
                      </w:divBdr>
                      <w:divsChild>
                        <w:div w:id="1868905092">
                          <w:marLeft w:val="0"/>
                          <w:marRight w:val="0"/>
                          <w:marTop w:val="0"/>
                          <w:marBottom w:val="0"/>
                          <w:divBdr>
                            <w:top w:val="none" w:sz="0" w:space="0" w:color="auto"/>
                            <w:left w:val="none" w:sz="0" w:space="0" w:color="auto"/>
                            <w:bottom w:val="none" w:sz="0" w:space="0" w:color="auto"/>
                            <w:right w:val="none" w:sz="0" w:space="0" w:color="auto"/>
                          </w:divBdr>
                          <w:divsChild>
                            <w:div w:id="186890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905099">
      <w:marLeft w:val="0"/>
      <w:marRight w:val="0"/>
      <w:marTop w:val="0"/>
      <w:marBottom w:val="0"/>
      <w:divBdr>
        <w:top w:val="none" w:sz="0" w:space="0" w:color="auto"/>
        <w:left w:val="none" w:sz="0" w:space="0" w:color="auto"/>
        <w:bottom w:val="none" w:sz="0" w:space="0" w:color="auto"/>
        <w:right w:val="none" w:sz="0" w:space="0" w:color="auto"/>
      </w:divBdr>
      <w:divsChild>
        <w:div w:id="1868905088">
          <w:marLeft w:val="-7005"/>
          <w:marRight w:val="0"/>
          <w:marTop w:val="300"/>
          <w:marBottom w:val="0"/>
          <w:divBdr>
            <w:top w:val="none" w:sz="0" w:space="0" w:color="auto"/>
            <w:left w:val="none" w:sz="0" w:space="0" w:color="auto"/>
            <w:bottom w:val="none" w:sz="0" w:space="0" w:color="auto"/>
            <w:right w:val="none" w:sz="0" w:space="0" w:color="auto"/>
          </w:divBdr>
          <w:divsChild>
            <w:div w:id="1868905096">
              <w:marLeft w:val="0"/>
              <w:marRight w:val="0"/>
              <w:marTop w:val="0"/>
              <w:marBottom w:val="0"/>
              <w:divBdr>
                <w:top w:val="none" w:sz="0" w:space="0" w:color="auto"/>
                <w:left w:val="none" w:sz="0" w:space="0" w:color="auto"/>
                <w:bottom w:val="none" w:sz="0" w:space="0" w:color="auto"/>
                <w:right w:val="none" w:sz="0" w:space="0" w:color="auto"/>
              </w:divBdr>
              <w:divsChild>
                <w:div w:id="1868905097">
                  <w:marLeft w:val="0"/>
                  <w:marRight w:val="0"/>
                  <w:marTop w:val="0"/>
                  <w:marBottom w:val="0"/>
                  <w:divBdr>
                    <w:top w:val="none" w:sz="0" w:space="0" w:color="auto"/>
                    <w:left w:val="none" w:sz="0" w:space="0" w:color="auto"/>
                    <w:bottom w:val="none" w:sz="0" w:space="0" w:color="auto"/>
                    <w:right w:val="none" w:sz="0" w:space="0" w:color="auto"/>
                  </w:divBdr>
                  <w:divsChild>
                    <w:div w:id="1868905098">
                      <w:marLeft w:val="0"/>
                      <w:marRight w:val="0"/>
                      <w:marTop w:val="0"/>
                      <w:marBottom w:val="0"/>
                      <w:divBdr>
                        <w:top w:val="none" w:sz="0" w:space="0" w:color="auto"/>
                        <w:left w:val="none" w:sz="0" w:space="0" w:color="auto"/>
                        <w:bottom w:val="none" w:sz="0" w:space="0" w:color="auto"/>
                        <w:right w:val="none" w:sz="0" w:space="0" w:color="auto"/>
                      </w:divBdr>
                      <w:divsChild>
                        <w:div w:id="1868905093">
                          <w:marLeft w:val="0"/>
                          <w:marRight w:val="0"/>
                          <w:marTop w:val="0"/>
                          <w:marBottom w:val="0"/>
                          <w:divBdr>
                            <w:top w:val="none" w:sz="0" w:space="0" w:color="auto"/>
                            <w:left w:val="none" w:sz="0" w:space="0" w:color="auto"/>
                            <w:bottom w:val="none" w:sz="0" w:space="0" w:color="auto"/>
                            <w:right w:val="none" w:sz="0" w:space="0" w:color="auto"/>
                          </w:divBdr>
                          <w:divsChild>
                            <w:div w:id="186890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7.emf"/><Relationship Id="rId12" Type="http://schemas.openxmlformats.org/officeDocument/2006/relationships/image" Target="media/image8.emf"/><Relationship Id="rId13" Type="http://schemas.openxmlformats.org/officeDocument/2006/relationships/image" Target="media/image9.emf"/><Relationship Id="rId14" Type="http://schemas.openxmlformats.org/officeDocument/2006/relationships/image" Target="media/image10.emf"/><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2.emf"/><Relationship Id="rId7" Type="http://schemas.openxmlformats.org/officeDocument/2006/relationships/image" Target="media/image3.emf"/><Relationship Id="rId8" Type="http://schemas.openxmlformats.org/officeDocument/2006/relationships/image" Target="media/image4.emf"/><Relationship Id="rId9" Type="http://schemas.openxmlformats.org/officeDocument/2006/relationships/image" Target="media/image5.emf"/><Relationship Id="rId10" Type="http://schemas.openxmlformats.org/officeDocument/2006/relationships/image" Target="media/image6.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TotalTime>
  <Pages>4</Pages>
  <Words>1141</Words>
  <Characters>6506</Characters>
  <Application>Microsoft Macintosh Word</Application>
  <DocSecurity>0</DocSecurity>
  <Lines>54</Lines>
  <Paragraphs>15</Paragraphs>
  <ScaleCrop>false</ScaleCrop>
  <Company/>
  <LinksUpToDate>false</LinksUpToDate>
  <CharactersWithSpaces>7632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Verspilling van Voedsel</dc:title>
  <dc:subject/>
  <dc:creator>Pegels-Duine</dc:creator>
  <cp:keywords/>
  <dc:description/>
  <cp:lastModifiedBy>Hilde Hoeben</cp:lastModifiedBy>
  <cp:revision>55</cp:revision>
  <dcterms:created xsi:type="dcterms:W3CDTF">2012-07-18T10:35:00Z</dcterms:created>
  <dcterms:modified xsi:type="dcterms:W3CDTF">2013-02-20T13:08:00Z</dcterms:modified>
</cp:coreProperties>
</file>